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zh-CN" w:eastAsia="zh-CN" w:bidi="ar"/>
        </w:rPr>
      </w:pPr>
      <w:r>
        <w:rPr>
          <w:rFonts w:hint="eastAsia" w:ascii="黑体" w:eastAsia="黑体" w:cs="黑体"/>
          <w:bCs/>
          <w:kern w:val="2"/>
          <w:sz w:val="36"/>
          <w:szCs w:val="36"/>
          <w:lang w:val="zh-CN" w:eastAsia="zh-CN" w:bidi="ar"/>
        </w:rPr>
        <w:t>高压变频器</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pStyle w:val="9"/>
        <w:keepNext w:val="0"/>
        <w:keepLines w:val="0"/>
        <w:widowControl/>
        <w:suppressLineNumbers w:val="0"/>
        <w:spacing w:before="0" w:beforeAutospacing="0" w:after="0" w:afterAutospacing="0"/>
        <w:ind w:left="0" w:firstLine="0"/>
        <w:jc w:val="center"/>
        <w:rPr>
          <w:rFonts w:hint="eastAsia" w:ascii="黑体" w:hAnsi="宋体" w:eastAsia="黑体" w:cs="宋体"/>
          <w:bCs/>
          <w:kern w:val="2"/>
          <w:sz w:val="30"/>
          <w:szCs w:val="30"/>
          <w:lang w:val="zh-CN" w:eastAsia="zh-CN" w:bidi="ar"/>
        </w:rPr>
      </w:pPr>
      <w:r>
        <w:rPr>
          <w:rFonts w:hint="eastAsia" w:ascii="黑体" w:hAnsi="宋体" w:eastAsia="黑体" w:cs="宋体"/>
          <w:bCs/>
          <w:kern w:val="2"/>
          <w:sz w:val="30"/>
          <w:szCs w:val="30"/>
          <w:lang w:val="zh-CN" w:eastAsia="zh-CN" w:bidi="ar"/>
        </w:rPr>
        <w:t>招标编号：JZNY-TLSWZ-GYBPQCG-ZBWJ-2024-07-01</w:t>
      </w: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w:t>
      </w:r>
      <w:r>
        <w:rPr>
          <w:rFonts w:hint="eastAsia" w:ascii="黑体" w:hAnsi="宋体" w:eastAsia="黑体" w:cs="宋体"/>
          <w:bCs/>
          <w:kern w:val="2"/>
          <w:sz w:val="30"/>
          <w:szCs w:val="30"/>
          <w:lang w:val="en-US" w:eastAsia="zh-CN" w:bidi="ar"/>
        </w:rPr>
        <w:t>四</w:t>
      </w:r>
      <w:r>
        <w:rPr>
          <w:rFonts w:hint="eastAsia" w:ascii="黑体" w:hAnsi="宋体" w:eastAsia="黑体" w:cs="宋体"/>
          <w:bCs/>
          <w:kern w:val="2"/>
          <w:sz w:val="30"/>
          <w:szCs w:val="30"/>
          <w:lang w:val="zh-CN" w:eastAsia="zh-CN" w:bidi="ar"/>
        </w:rPr>
        <w:t>年</w:t>
      </w:r>
      <w:r>
        <w:rPr>
          <w:rFonts w:hint="eastAsia" w:ascii="黑体" w:hAnsi="宋体" w:eastAsia="黑体" w:cs="宋体"/>
          <w:bCs/>
          <w:kern w:val="2"/>
          <w:sz w:val="30"/>
          <w:szCs w:val="30"/>
          <w:lang w:val="en-US" w:eastAsia="zh-CN" w:bidi="ar"/>
        </w:rPr>
        <w:t>七</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widowControl/>
        <w:adjustRightInd w:val="0"/>
        <w:spacing w:line="360" w:lineRule="auto"/>
        <w:ind w:left="178" w:leftChars="85" w:firstLine="535" w:firstLineChars="255"/>
        <w:jc w:val="left"/>
        <w:rPr>
          <w:rFonts w:hint="eastAsia"/>
          <w:color w:val="000000"/>
          <w:szCs w:val="21"/>
          <w:lang w:val="en-US" w:eastAsia="zh-CN"/>
        </w:rPr>
      </w:pPr>
      <w:r>
        <w:rPr>
          <w:rFonts w:hint="eastAsia"/>
          <w:color w:val="000000"/>
          <w:szCs w:val="21"/>
          <w:lang w:val="en-US" w:eastAsia="zh-CN"/>
        </w:rPr>
        <w:t>哈尔滨九洲集团股份有限公司对泰来九洲兴泰生物质热电有限责任公司</w:t>
      </w:r>
      <w:r>
        <w:rPr>
          <w:rFonts w:hint="default"/>
          <w:color w:val="000000"/>
          <w:szCs w:val="21"/>
          <w:lang w:val="en-US" w:eastAsia="zh-CN"/>
        </w:rPr>
        <w:t>2X40MW</w:t>
      </w:r>
      <w:r>
        <w:rPr>
          <w:rFonts w:hint="eastAsia"/>
          <w:color w:val="000000"/>
          <w:szCs w:val="21"/>
          <w:lang w:val="en-US" w:eastAsia="zh-CN"/>
        </w:rPr>
        <w:t>农林生物质热电联产示范项目高压变频器采购项目（招标编号：</w:t>
      </w:r>
      <w:r>
        <w:rPr>
          <w:rFonts w:hint="eastAsia"/>
          <w:color w:val="000000"/>
          <w:szCs w:val="21"/>
          <w:lang w:val="zh-CN" w:eastAsia="zh-CN"/>
        </w:rPr>
        <w:t>JZNY-TLSWZ-GYBPQCG-ZBWJ-2024-07-01</w:t>
      </w:r>
      <w:r>
        <w:rPr>
          <w:rFonts w:hint="eastAsia"/>
          <w:color w:val="000000"/>
          <w:szCs w:val="21"/>
          <w:lang w:val="en-US" w:eastAsia="zh-CN"/>
        </w:rPr>
        <w:t>）进行国内邀请合格的企业参加投标。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32222"/>
      <w:bookmarkStart w:id="2" w:name="_Toc524861530"/>
      <w:r>
        <w:rPr>
          <w:rFonts w:hint="eastAsia" w:ascii="宋体" w:hAnsi="宋体" w:eastAsia="宋体" w:cs="宋体"/>
          <w:b/>
          <w:bCs w:val="0"/>
          <w:color w:val="000000"/>
          <w:kern w:val="0"/>
          <w:sz w:val="21"/>
          <w:szCs w:val="21"/>
          <w:lang w:val="en-US" w:eastAsia="zh-CN" w:bidi="ar"/>
        </w:rPr>
        <w:t>一、招标内容：</w:t>
      </w:r>
      <w:bookmarkEnd w:id="1"/>
      <w:bookmarkEnd w:id="2"/>
    </w:p>
    <w:p>
      <w:pPr>
        <w:widowControl/>
        <w:adjustRightInd w:val="0"/>
        <w:spacing w:line="360" w:lineRule="auto"/>
        <w:ind w:left="178" w:leftChars="85" w:firstLine="535" w:firstLineChars="255"/>
        <w:jc w:val="left"/>
        <w:rPr>
          <w:color w:val="000000"/>
          <w:szCs w:val="21"/>
        </w:rPr>
      </w:pPr>
      <w:bookmarkStart w:id="3" w:name="_Toc20741"/>
      <w:bookmarkStart w:id="4" w:name="_Toc524861531"/>
      <w:r>
        <w:rPr>
          <w:rFonts w:hint="eastAsia"/>
          <w:color w:val="000000"/>
          <w:szCs w:val="21"/>
          <w:lang w:eastAsia="zh-CN"/>
        </w:rPr>
        <w:t>泰来九洲兴泰生物质热电有限责任公司2X40MW农林生物质热电联产项目</w:t>
      </w:r>
      <w:r>
        <w:rPr>
          <w:rFonts w:hint="eastAsia"/>
          <w:color w:val="000000"/>
          <w:szCs w:val="21"/>
          <w:lang w:val="en-US" w:eastAsia="zh-CN"/>
        </w:rPr>
        <w:t>高压变频器采购</w:t>
      </w:r>
      <w:r>
        <w:rPr>
          <w:rFonts w:hint="eastAsia"/>
          <w:color w:val="000000"/>
          <w:szCs w:val="21"/>
        </w:rPr>
        <w:t>。（</w:t>
      </w:r>
      <w:r>
        <w:rPr>
          <w:rFonts w:hint="eastAsia" w:hAnsi="宋体"/>
          <w:color w:val="000000"/>
        </w:rPr>
        <w:t>详细见技术规范的供货范围）</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636"/>
      <w:bookmarkStart w:id="6" w:name="_Toc524861532"/>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178" w:leftChars="85" w:right="0" w:firstLine="533" w:firstLineChars="254"/>
        <w:jc w:val="both"/>
        <w:rPr>
          <w:szCs w:val="21"/>
          <w:lang w:val="en-US"/>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w:t>
      </w:r>
      <w:r>
        <w:rPr>
          <w:rFonts w:hint="eastAsia" w:cs="宋体"/>
          <w:color w:val="000000"/>
          <w:kern w:val="2"/>
          <w:sz w:val="21"/>
          <w:szCs w:val="21"/>
          <w:lang w:val="en-US" w:eastAsia="zh-CN" w:bidi="ar"/>
        </w:rPr>
        <w:t>4</w:t>
      </w:r>
      <w:r>
        <w:rPr>
          <w:rFonts w:hint="eastAsia" w:ascii="Times New Roman" w:hAnsi="Times New Roman" w:eastAsia="宋体" w:cs="宋体"/>
          <w:color w:val="000000"/>
          <w:kern w:val="2"/>
          <w:sz w:val="21"/>
          <w:szCs w:val="21"/>
          <w:lang w:val="en-US" w:eastAsia="zh-CN" w:bidi="ar"/>
        </w:rPr>
        <w:t>年</w:t>
      </w:r>
      <w:r>
        <w:rPr>
          <w:rFonts w:hint="eastAsia" w:cs="宋体"/>
          <w:color w:val="000000"/>
          <w:kern w:val="2"/>
          <w:sz w:val="21"/>
          <w:szCs w:val="21"/>
          <w:lang w:val="en-US" w:eastAsia="zh-CN" w:bidi="ar"/>
        </w:rPr>
        <w:t>08</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01</w:t>
      </w:r>
      <w:r>
        <w:rPr>
          <w:rFonts w:hint="eastAsia" w:ascii="Times New Roman" w:hAnsi="Times New Roman" w:eastAsia="宋体" w:cs="宋体"/>
          <w:color w:val="000000"/>
          <w:kern w:val="2"/>
          <w:sz w:val="21"/>
          <w:szCs w:val="21"/>
          <w:lang w:val="en-US" w:eastAsia="zh-CN" w:bidi="ar"/>
        </w:rPr>
        <w:t>日前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524861533"/>
      <w:bookmarkStart w:id="8" w:name="_Toc32257"/>
      <w:r>
        <w:rPr>
          <w:rFonts w:hint="eastAsia" w:ascii="宋体" w:hAnsi="宋体" w:eastAsia="宋体" w:cs="宋体"/>
          <w:b/>
          <w:bCs w:val="0"/>
          <w:color w:val="000000"/>
          <w:kern w:val="0"/>
          <w:sz w:val="21"/>
          <w:szCs w:val="21"/>
          <w:lang w:val="en-US" w:eastAsia="zh-CN" w:bidi="ar"/>
        </w:rPr>
        <w:t>四、投标资格：</w:t>
      </w:r>
      <w:bookmarkEnd w:id="7"/>
      <w:bookmarkEnd w:id="8"/>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10</w:t>
      </w:r>
      <w:r>
        <w:rPr>
          <w:rFonts w:hint="eastAsia" w:ascii="宋体" w:hAnsi="宋体" w:eastAsia="宋体" w:cs="宋体"/>
          <w:kern w:val="2"/>
          <w:sz w:val="21"/>
          <w:szCs w:val="21"/>
          <w:lang w:val="en-US" w:eastAsia="zh-CN" w:bidi="ar"/>
        </w:rPr>
        <w:t>00万元以上；</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w:t>
      </w:r>
      <w:r>
        <w:rPr>
          <w:rFonts w:hint="eastAsia" w:ascii="宋体" w:hAnsi="宋体" w:cs="宋体"/>
          <w:kern w:val="2"/>
          <w:sz w:val="21"/>
          <w:szCs w:val="21"/>
          <w:lang w:val="en-US" w:eastAsia="zh-CN" w:bidi="ar"/>
        </w:rPr>
        <w:t>九洲集团、</w:t>
      </w:r>
      <w:bookmarkStart w:id="49" w:name="_GoBack"/>
      <w:bookmarkEnd w:id="49"/>
      <w:r>
        <w:rPr>
          <w:rFonts w:hint="eastAsia" w:ascii="宋体" w:hAnsi="宋体" w:eastAsia="宋体" w:cs="宋体"/>
          <w:kern w:val="2"/>
          <w:sz w:val="21"/>
          <w:szCs w:val="21"/>
          <w:lang w:val="en-US" w:eastAsia="zh-CN" w:bidi="ar"/>
        </w:rPr>
        <w:t>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w:t>
      </w:r>
      <w:r>
        <w:rPr>
          <w:rFonts w:hint="eastAsia" w:ascii="宋体" w:hAnsi="宋体" w:cs="宋体"/>
          <w:color w:val="FF0000"/>
          <w:kern w:val="0"/>
          <w:sz w:val="21"/>
          <w:szCs w:val="21"/>
          <w:lang w:val="en-US" w:eastAsia="zh-CN" w:bidi="ar"/>
        </w:rPr>
        <w:t>4</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02</w:t>
      </w:r>
      <w:r>
        <w:rPr>
          <w:rFonts w:hint="eastAsia" w:ascii="宋体" w:hAnsi="宋体" w:eastAsia="宋体" w:cs="宋体"/>
          <w:color w:val="FF0000"/>
          <w:kern w:val="2"/>
          <w:sz w:val="21"/>
          <w:szCs w:val="21"/>
          <w:lang w:val="en-US" w:eastAsia="zh-CN" w:bidi="ar"/>
        </w:rPr>
        <w:t>日至202</w:t>
      </w:r>
      <w:r>
        <w:rPr>
          <w:rFonts w:hint="eastAsia" w:ascii="宋体" w:hAnsi="宋体" w:cs="宋体"/>
          <w:color w:val="FF0000"/>
          <w:kern w:val="2"/>
          <w:sz w:val="21"/>
          <w:szCs w:val="21"/>
          <w:lang w:val="en-US" w:eastAsia="zh-CN" w:bidi="ar"/>
        </w:rPr>
        <w:t>4</w:t>
      </w:r>
      <w:r>
        <w:rPr>
          <w:rFonts w:hint="eastAsia" w:ascii="宋体" w:hAnsi="宋体" w:eastAsia="宋体" w:cs="宋体"/>
          <w:color w:val="FF0000"/>
          <w:kern w:val="2"/>
          <w:sz w:val="21"/>
          <w:szCs w:val="21"/>
          <w:lang w:val="en-US" w:eastAsia="zh-CN" w:bidi="ar"/>
        </w:rPr>
        <w:t>年</w:t>
      </w:r>
      <w:r>
        <w:rPr>
          <w:rFonts w:hint="eastAsia" w:ascii="宋体" w:hAnsi="宋体" w:cs="宋体"/>
          <w:color w:val="FF0000"/>
          <w:kern w:val="2"/>
          <w:sz w:val="21"/>
          <w:szCs w:val="21"/>
          <w:lang w:val="en-US" w:eastAsia="zh-CN" w:bidi="ar"/>
        </w:rPr>
        <w:t>07</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12</w:t>
      </w:r>
      <w:r>
        <w:rPr>
          <w:rFonts w:hint="eastAsia" w:ascii="宋体" w:hAnsi="宋体" w:eastAsia="宋体" w:cs="宋体"/>
          <w:color w:val="FF0000"/>
          <w:kern w:val="2"/>
          <w:sz w:val="21"/>
          <w:szCs w:val="21"/>
          <w:lang w:val="en-US" w:eastAsia="zh-CN" w:bidi="ar"/>
        </w:rPr>
        <w:t>日，每天上午</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2"/>
          <w:sz w:val="21"/>
          <w:szCs w:val="21"/>
          <w:lang w:val="en-US" w:eastAsia="zh-CN" w:bidi="ar"/>
        </w:rPr>
        <w:t>：00至1</w:t>
      </w:r>
      <w:r>
        <w:rPr>
          <w:rFonts w:hint="eastAsia" w:ascii="宋体" w:hAnsi="宋体" w:cs="宋体"/>
          <w:color w:val="FF0000"/>
          <w:kern w:val="2"/>
          <w:sz w:val="21"/>
          <w:szCs w:val="21"/>
          <w:lang w:val="en-US" w:eastAsia="zh-CN" w:bidi="ar"/>
        </w:rPr>
        <w:t>2</w:t>
      </w:r>
      <w:r>
        <w:rPr>
          <w:rFonts w:hint="eastAsia" w:ascii="宋体" w:hAnsi="宋体" w:eastAsia="宋体" w:cs="宋体"/>
          <w:color w:val="FF0000"/>
          <w:kern w:val="2"/>
          <w:sz w:val="21"/>
          <w:szCs w:val="21"/>
          <w:lang w:val="en-US" w:eastAsia="zh-CN" w:bidi="ar"/>
        </w:rPr>
        <w:t>：00，下午13：00至1</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2"/>
          <w:sz w:val="21"/>
          <w:szCs w:val="21"/>
          <w:lang w:val="en-US" w:eastAsia="zh-CN" w:bidi="ar"/>
        </w:rPr>
        <w:t>：</w:t>
      </w:r>
      <w:r>
        <w:rPr>
          <w:rFonts w:hint="eastAsia" w:ascii="宋体" w:hAnsi="宋体" w:cs="宋体"/>
          <w:color w:val="FF0000"/>
          <w:kern w:val="2"/>
          <w:sz w:val="21"/>
          <w:szCs w:val="21"/>
          <w:lang w:val="en-US" w:eastAsia="zh-CN" w:bidi="ar"/>
        </w:rPr>
        <w:t>0</w:t>
      </w:r>
      <w:r>
        <w:rPr>
          <w:rFonts w:hint="eastAsia" w:ascii="宋体" w:hAnsi="宋体" w:eastAsia="宋体" w:cs="宋体"/>
          <w:color w:val="FF0000"/>
          <w:kern w:val="2"/>
          <w:sz w:val="21"/>
          <w:szCs w:val="21"/>
          <w:lang w:val="en-US" w:eastAsia="zh-CN" w:bidi="ar"/>
        </w:rPr>
        <w:t>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10"/>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2X40MW农林生物质热电联产示范项目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8"/>
                <w:lang w:val="zh-CN" w:eastAsia="zh-CN" w:bidi="ar"/>
              </w:rPr>
              <w:t>JZNY-TLSWZ-GYBPQCG-ZBWJ-2024-07-01</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524861536"/>
      <w:bookmarkStart w:id="14" w:name="_Toc685"/>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2514"/>
      <w:bookmarkStart w:id="16" w:name="_Toc419464291"/>
      <w:bookmarkStart w:id="17" w:name="_Toc524861537"/>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4</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12</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4</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12</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w:t>
      </w:r>
      <w:r>
        <w:rPr>
          <w:rFonts w:hint="eastAsia" w:ascii="宋体" w:hAnsi="宋体" w:eastAsia="宋体" w:cs="宋体"/>
          <w:color w:val="FF0000"/>
          <w:kern w:val="2"/>
          <w:sz w:val="21"/>
          <w:szCs w:val="21"/>
          <w:u w:val="single"/>
          <w:lang w:val="en-US" w:eastAsia="zh-CN" w:bidi="ar"/>
        </w:rPr>
        <w:t>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524861538"/>
      <w:bookmarkStart w:id="19" w:name="_Toc25923"/>
      <w:bookmarkStart w:id="20" w:name="_Toc419464292"/>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2"/>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pStyle w:val="2"/>
        <w:widowControl/>
        <w:rPr>
          <w:lang w:val="en-US"/>
        </w:rPr>
      </w:pPr>
      <w:bookmarkStart w:id="21" w:name="_Toc33419395"/>
      <w:bookmarkStart w:id="22" w:name="_Toc35489289"/>
      <w:bookmarkStart w:id="23" w:name="_Toc14767705"/>
      <w:bookmarkStart w:id="24" w:name="_Toc248647668"/>
      <w:bookmarkStart w:id="25" w:name="_Toc524861539"/>
      <w:r>
        <w:rPr>
          <w:rFonts w:hint="eastAsia" w:ascii="Times New Roman" w:hAnsi="Times New Roman" w:eastAsia="宋体" w:cs="宋体"/>
          <w:lang w:eastAsia="zh-CN"/>
        </w:rPr>
        <w:t>第二章</w:t>
      </w:r>
      <w:bookmarkEnd w:id="21"/>
      <w:bookmarkEnd w:id="22"/>
      <w:bookmarkEnd w:id="23"/>
      <w:bookmarkStart w:id="26" w:name="_Toc18979746"/>
      <w:bookmarkStart w:id="27" w:name="_Toc19111734"/>
      <w:bookmarkStart w:id="28" w:name="_Toc20484467"/>
      <w:bookmarkStart w:id="29" w:name="_Toc14766695"/>
      <w:bookmarkStart w:id="30" w:name="_Toc18139830"/>
      <w:bookmarkStart w:id="31" w:name="_Toc20367202"/>
      <w:bookmarkStart w:id="32" w:name="_Toc14767706"/>
      <w:bookmarkStart w:id="33" w:name="_Toc30413444"/>
      <w:bookmarkStart w:id="34" w:name="_Toc33419396"/>
      <w:bookmarkStart w:id="35" w:name="_Toc19098945"/>
      <w:bookmarkStart w:id="36" w:name="_Toc23125777"/>
      <w:bookmarkStart w:id="37" w:name="_Toc25813367"/>
      <w:bookmarkStart w:id="38" w:name="_Toc35419562"/>
      <w:bookmarkStart w:id="39" w:name="_Toc35173002"/>
      <w:bookmarkStart w:id="40" w:name="_Toc35489290"/>
      <w:bookmarkStart w:id="41" w:name="_Toc18139631"/>
      <w:bookmarkStart w:id="42" w:name="_Toc23476052"/>
      <w:bookmarkStart w:id="43" w:name="_Toc22809472"/>
      <w:bookmarkStart w:id="44" w:name="_Toc26092393"/>
      <w:bookmarkStart w:id="45" w:name="_Toc22980320"/>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248647669"/>
      <w:bookmarkStart w:id="47" w:name="_Toc524861540"/>
      <w:bookmarkStart w:id="48" w:name="_Toc1409"/>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10"/>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泰来九洲兴泰生物质热电有限责任公司2X40MW农林生物质热电联产项目所需的</w:t>
            </w:r>
            <w:r>
              <w:rPr>
                <w:rFonts w:hint="eastAsia" w:ascii="Times New Roman" w:hAnsi="Times New Roman" w:eastAsia="宋体" w:cs="宋体"/>
                <w:kern w:val="2"/>
                <w:sz w:val="21"/>
                <w:szCs w:val="21"/>
                <w:lang w:val="zh-CN" w:eastAsia="zh-CN" w:bidi="ar"/>
              </w:rPr>
              <w:t>高压变频器</w:t>
            </w:r>
            <w:r>
              <w:rPr>
                <w:rFonts w:hint="eastAsia" w:ascii="Times New Roman" w:hAnsi="Times New Roman" w:eastAsia="宋体" w:cs="宋体"/>
                <w:kern w:val="2"/>
                <w:sz w:val="21"/>
                <w:szCs w:val="21"/>
                <w:lang w:val="en-US" w:eastAsia="zh-CN" w:bidi="ar"/>
              </w:rPr>
              <w:t>采购（详见技术规范的供货范围）</w:t>
            </w:r>
            <w:r>
              <w:rPr>
                <w:rFonts w:hint="default"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color w:val="000000"/>
                <w:kern w:val="2"/>
                <w:sz w:val="21"/>
                <w:szCs w:val="21"/>
                <w:lang w:val="en-US" w:eastAsia="zh-CN" w:bidi="ar"/>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w:t>
            </w:r>
            <w:r>
              <w:rPr>
                <w:rFonts w:hint="eastAsia" w:cs="宋体"/>
                <w:color w:val="000000"/>
                <w:kern w:val="2"/>
                <w:sz w:val="21"/>
                <w:szCs w:val="21"/>
                <w:lang w:val="en-US" w:eastAsia="zh-CN" w:bidi="ar"/>
              </w:rPr>
              <w:t>4</w:t>
            </w:r>
            <w:r>
              <w:rPr>
                <w:rFonts w:hint="eastAsia" w:ascii="Times New Roman" w:hAnsi="Times New Roman" w:eastAsia="宋体" w:cs="宋体"/>
                <w:color w:val="000000"/>
                <w:kern w:val="2"/>
                <w:sz w:val="21"/>
                <w:szCs w:val="21"/>
                <w:lang w:val="en-US" w:eastAsia="zh-CN" w:bidi="ar"/>
              </w:rPr>
              <w:t>年</w:t>
            </w:r>
            <w:r>
              <w:rPr>
                <w:rFonts w:hint="eastAsia" w:cs="宋体"/>
                <w:color w:val="000000"/>
                <w:kern w:val="2"/>
                <w:sz w:val="21"/>
                <w:szCs w:val="21"/>
                <w:lang w:val="en-US" w:eastAsia="zh-CN" w:bidi="ar"/>
              </w:rPr>
              <w:t>08</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01</w:t>
            </w:r>
            <w:r>
              <w:rPr>
                <w:rFonts w:hint="eastAsia" w:ascii="Times New Roman" w:hAnsi="Times New Roman" w:eastAsia="宋体" w:cs="宋体"/>
                <w:color w:val="000000"/>
                <w:kern w:val="2"/>
                <w:sz w:val="21"/>
                <w:szCs w:val="21"/>
                <w:lang w:val="en-US" w:eastAsia="zh-CN" w:bidi="ar"/>
              </w:rPr>
              <w:t>日前</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10</w:t>
            </w:r>
            <w:r>
              <w:rPr>
                <w:rFonts w:hint="eastAsia" w:ascii="宋体" w:hAnsi="宋体" w:eastAsia="宋体" w:cs="宋体"/>
                <w:kern w:val="2"/>
                <w:sz w:val="21"/>
                <w:szCs w:val="21"/>
                <w:lang w:val="en-US" w:eastAsia="zh-CN" w:bidi="ar"/>
              </w:rPr>
              <w:t>00万元以上；</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w:t>
            </w:r>
            <w:r>
              <w:rPr>
                <w:rFonts w:hint="eastAsia" w:cs="Times New Roman"/>
                <w:color w:val="FF0000"/>
                <w:kern w:val="2"/>
                <w:sz w:val="21"/>
                <w:szCs w:val="24"/>
                <w:lang w:val="en-US" w:eastAsia="zh-CN" w:bidi="ar"/>
              </w:rPr>
              <w:t>4</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07</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12</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w:t>
            </w:r>
            <w:r>
              <w:rPr>
                <w:rFonts w:hint="eastAsia" w:cs="Times New Roman"/>
                <w:color w:val="FF0000"/>
                <w:kern w:val="2"/>
                <w:sz w:val="21"/>
                <w:szCs w:val="24"/>
                <w:lang w:val="en-US" w:eastAsia="zh-CN" w:bidi="ar"/>
              </w:rPr>
              <w:t>4</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07</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12</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1D673F"/>
    <w:rsid w:val="02A57FB7"/>
    <w:rsid w:val="02B0450D"/>
    <w:rsid w:val="02EA7C6D"/>
    <w:rsid w:val="03CB7E74"/>
    <w:rsid w:val="052D2590"/>
    <w:rsid w:val="053022E6"/>
    <w:rsid w:val="08591B53"/>
    <w:rsid w:val="08F67A4D"/>
    <w:rsid w:val="0946657C"/>
    <w:rsid w:val="0BC46ABB"/>
    <w:rsid w:val="0C140CAE"/>
    <w:rsid w:val="0CA57267"/>
    <w:rsid w:val="0D5648B3"/>
    <w:rsid w:val="0F374C93"/>
    <w:rsid w:val="0F6432CF"/>
    <w:rsid w:val="0FA4722F"/>
    <w:rsid w:val="10E83797"/>
    <w:rsid w:val="11F64DB4"/>
    <w:rsid w:val="120945EA"/>
    <w:rsid w:val="15175270"/>
    <w:rsid w:val="15A56B8C"/>
    <w:rsid w:val="1D303373"/>
    <w:rsid w:val="1D3249F5"/>
    <w:rsid w:val="1DE764DC"/>
    <w:rsid w:val="2027235D"/>
    <w:rsid w:val="20F85819"/>
    <w:rsid w:val="212136FE"/>
    <w:rsid w:val="21A67E82"/>
    <w:rsid w:val="21BC67D1"/>
    <w:rsid w:val="223942B3"/>
    <w:rsid w:val="22956B16"/>
    <w:rsid w:val="22B44742"/>
    <w:rsid w:val="235414DF"/>
    <w:rsid w:val="26CB1A16"/>
    <w:rsid w:val="27385060"/>
    <w:rsid w:val="27D925E2"/>
    <w:rsid w:val="28095BAC"/>
    <w:rsid w:val="29440246"/>
    <w:rsid w:val="29657F00"/>
    <w:rsid w:val="2B6A1A90"/>
    <w:rsid w:val="2E7F54EB"/>
    <w:rsid w:val="317E24A7"/>
    <w:rsid w:val="32193F7E"/>
    <w:rsid w:val="32350942"/>
    <w:rsid w:val="325129D3"/>
    <w:rsid w:val="32FB63AF"/>
    <w:rsid w:val="333F0FA3"/>
    <w:rsid w:val="33635DAC"/>
    <w:rsid w:val="340D366E"/>
    <w:rsid w:val="341F07F8"/>
    <w:rsid w:val="343A1627"/>
    <w:rsid w:val="34CE1050"/>
    <w:rsid w:val="35273774"/>
    <w:rsid w:val="35E47D8D"/>
    <w:rsid w:val="367479D5"/>
    <w:rsid w:val="36E96AA7"/>
    <w:rsid w:val="38A81BB8"/>
    <w:rsid w:val="39DC7D6B"/>
    <w:rsid w:val="3B463E57"/>
    <w:rsid w:val="3BEE1FD7"/>
    <w:rsid w:val="3CAA23A2"/>
    <w:rsid w:val="3D691F22"/>
    <w:rsid w:val="3EBD7A0F"/>
    <w:rsid w:val="3F1A3EDB"/>
    <w:rsid w:val="401F09B1"/>
    <w:rsid w:val="41E56FAC"/>
    <w:rsid w:val="4416031D"/>
    <w:rsid w:val="445E7235"/>
    <w:rsid w:val="447931A7"/>
    <w:rsid w:val="466D4226"/>
    <w:rsid w:val="49613C94"/>
    <w:rsid w:val="49B362AF"/>
    <w:rsid w:val="49B54134"/>
    <w:rsid w:val="4A4C1A86"/>
    <w:rsid w:val="4B9D521C"/>
    <w:rsid w:val="4BCF7CE4"/>
    <w:rsid w:val="4E1A4EAE"/>
    <w:rsid w:val="51C4760A"/>
    <w:rsid w:val="53A019B1"/>
    <w:rsid w:val="53D91EAA"/>
    <w:rsid w:val="54E748A7"/>
    <w:rsid w:val="54F1738F"/>
    <w:rsid w:val="56F51D94"/>
    <w:rsid w:val="58FF7637"/>
    <w:rsid w:val="5B72720F"/>
    <w:rsid w:val="5C3A0EAF"/>
    <w:rsid w:val="60182CB2"/>
    <w:rsid w:val="60407240"/>
    <w:rsid w:val="60497515"/>
    <w:rsid w:val="607448F1"/>
    <w:rsid w:val="60DF620F"/>
    <w:rsid w:val="62AA0157"/>
    <w:rsid w:val="62C95A86"/>
    <w:rsid w:val="64033FC2"/>
    <w:rsid w:val="6431121C"/>
    <w:rsid w:val="6481138B"/>
    <w:rsid w:val="64AA08E2"/>
    <w:rsid w:val="64AC5E8F"/>
    <w:rsid w:val="66EF7C3A"/>
    <w:rsid w:val="68331B39"/>
    <w:rsid w:val="68AB69D7"/>
    <w:rsid w:val="69616588"/>
    <w:rsid w:val="6D667370"/>
    <w:rsid w:val="6E3F78B8"/>
    <w:rsid w:val="6E600263"/>
    <w:rsid w:val="6F491799"/>
    <w:rsid w:val="718F158B"/>
    <w:rsid w:val="72656283"/>
    <w:rsid w:val="72CC1ABA"/>
    <w:rsid w:val="72E976BF"/>
    <w:rsid w:val="73501F8C"/>
    <w:rsid w:val="76A52432"/>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6"/>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99"/>
    <w:rPr>
      <w:color w:val="0000FF"/>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qFormat/>
    <w:uiPriority w:val="0"/>
    <w:rPr>
      <w:kern w:val="2"/>
      <w:sz w:val="21"/>
      <w:szCs w:val="21"/>
    </w:rPr>
  </w:style>
  <w:style w:type="character" w:customStyle="1" w:styleId="17">
    <w:name w:val="15"/>
    <w:basedOn w:val="1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2306</Words>
  <Characters>2645</Characters>
  <Lines>22</Lines>
  <Paragraphs>6</Paragraphs>
  <TotalTime>21</TotalTime>
  <ScaleCrop>false</ScaleCrop>
  <LinksUpToDate>false</LinksUpToDate>
  <CharactersWithSpaces>2694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2024-07-02T09:05:04Z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27611FA10A9745859747494524CFD266</vt:lpwstr>
  </property>
</Properties>
</file>