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410" w:lineRule="atLeast"/>
        <w:jc w:val="center"/>
        <w:rPr>
          <w:rFonts w:hint="eastAsia" w:cs="宋体" w:asciiTheme="minorEastAsia" w:hAnsiTheme="minorEastAsia" w:eastAsiaTheme="minorEastAsia"/>
          <w:b/>
          <w:bCs/>
          <w:sz w:val="36"/>
          <w:szCs w:val="36"/>
          <w:lang w:val="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泰来九洲</w:t>
      </w:r>
      <w:r>
        <w:rPr>
          <w:rFonts w:hint="eastAsia" w:cs="宋体" w:asciiTheme="minorEastAsia" w:hAnsiTheme="minorEastAsia" w:eastAsiaTheme="minorEastAsia"/>
          <w:b/>
          <w:bCs/>
          <w:sz w:val="36"/>
          <w:szCs w:val="36"/>
          <w:lang w:val="en-US" w:eastAsia="zh-CN"/>
        </w:rPr>
        <w:t>大兴100MW风电项目</w:t>
      </w:r>
      <w:r>
        <w:rPr>
          <w:rFonts w:hint="eastAsia" w:cs="宋体" w:asciiTheme="minorEastAsia" w:hAnsiTheme="minorEastAsia" w:eastAsiaTheme="minorEastAsia"/>
          <w:b/>
          <w:bCs/>
          <w:sz w:val="36"/>
          <w:szCs w:val="36"/>
          <w:lang w:val="zh-CN"/>
        </w:rPr>
        <w:br w:type="textWrapping"/>
      </w:r>
    </w:p>
    <w:p>
      <w:pPr>
        <w:pStyle w:val="2"/>
        <w:rPr>
          <w:rFonts w:hint="eastAsia"/>
          <w:lang w:val="zh-CN"/>
        </w:rPr>
      </w:pPr>
    </w:p>
    <w:p>
      <w:pPr>
        <w:spacing w:line="410" w:lineRule="atLeast"/>
        <w:jc w:val="center"/>
        <w:rPr>
          <w:rFonts w:cs="宋体" w:asciiTheme="minorEastAsia" w:hAnsiTheme="minorEastAsia" w:eastAsiaTheme="minorEastAsia"/>
          <w:b/>
          <w:bCs/>
          <w:sz w:val="36"/>
          <w:szCs w:val="36"/>
          <w:lang w:val="zh-CN"/>
        </w:rPr>
      </w:pPr>
    </w:p>
    <w:p>
      <w:pPr>
        <w:spacing w:line="410" w:lineRule="atLeast"/>
        <w:jc w:val="center"/>
        <w:rPr>
          <w:rFonts w:hint="default" w:cs="宋体" w:asciiTheme="minorEastAsia" w:hAnsiTheme="minorEastAsia" w:eastAsiaTheme="minorEastAsia"/>
          <w:b/>
          <w:bCs/>
          <w:sz w:val="36"/>
          <w:szCs w:val="36"/>
          <w:lang w:val="en-US" w:eastAsia="zh-CN"/>
        </w:rPr>
      </w:pPr>
      <w:r>
        <w:rPr>
          <w:rFonts w:hint="eastAsia" w:cs="宋体" w:asciiTheme="minorEastAsia" w:hAnsiTheme="minorEastAsia" w:eastAsiaTheme="minorEastAsia"/>
          <w:b/>
          <w:bCs/>
          <w:sz w:val="36"/>
          <w:szCs w:val="36"/>
          <w:lang w:val="en-US" w:eastAsia="zh-CN"/>
        </w:rPr>
        <w:t>220KV升压站土建施工工程</w:t>
      </w:r>
    </w:p>
    <w:p>
      <w:pPr>
        <w:pStyle w:val="2"/>
        <w:rPr>
          <w:rFonts w:hint="eastAsia"/>
          <w:lang w:val="zh-CN" w:eastAsia="zh-CN"/>
        </w:rPr>
      </w:pPr>
    </w:p>
    <w:p>
      <w:pPr>
        <w:pStyle w:val="2"/>
        <w:rPr>
          <w:rFonts w:hint="eastAsia"/>
          <w:lang w:val="zh-CN" w:eastAsia="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招 标 公 告</w:t>
      </w:r>
    </w:p>
    <w:p>
      <w:pPr>
        <w:spacing w:line="410" w:lineRule="atLeast"/>
        <w:jc w:val="center"/>
        <w:rPr>
          <w:rFonts w:cs="宋体" w:asciiTheme="minorEastAsia" w:hAnsiTheme="minorEastAsia" w:eastAsiaTheme="minorEastAsia"/>
          <w:b/>
          <w:bCs/>
          <w:sz w:val="32"/>
          <w:szCs w:val="32"/>
          <w:lang w:val="zh-CN"/>
        </w:rPr>
      </w:pPr>
    </w:p>
    <w:p>
      <w:pPr>
        <w:pStyle w:val="2"/>
        <w:rPr>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eastAsia="zh-CN"/>
        </w:rPr>
      </w:pPr>
      <w:r>
        <w:rPr>
          <w:rFonts w:hint="eastAsia" w:cs="宋体" w:asciiTheme="minorEastAsia" w:hAnsiTheme="minorEastAsia" w:eastAsiaTheme="minorEastAsia"/>
          <w:b/>
          <w:bCs/>
          <w:sz w:val="32"/>
          <w:szCs w:val="32"/>
          <w:lang w:val="zh-CN" w:eastAsia="zh-CN"/>
        </w:rPr>
        <w:t>招标编号：JZNY-FLFD-TLDX-ZBWJ-2022-11</w:t>
      </w:r>
    </w:p>
    <w:p>
      <w:pPr>
        <w:spacing w:line="410" w:lineRule="atLeast"/>
        <w:jc w:val="center"/>
        <w:rPr>
          <w:rFonts w:hint="eastAsia" w:cs="宋体" w:asciiTheme="minorEastAsia" w:hAnsiTheme="minorEastAsia" w:eastAsiaTheme="minorEastAsia"/>
          <w:b/>
          <w:bCs/>
          <w:sz w:val="32"/>
          <w:szCs w:val="32"/>
          <w:lang w:val="zh-CN" w:eastAsia="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七</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left="178" w:leftChars="85" w:firstLine="535" w:firstLineChars="255"/>
        <w:jc w:val="left"/>
        <w:outlineLvl w:val="0"/>
        <w:rPr>
          <w:rFonts w:hint="eastAsia"/>
          <w:szCs w:val="21"/>
          <w:lang w:eastAsia="zh-CN"/>
        </w:rPr>
      </w:pPr>
      <w:bookmarkStart w:id="1" w:name="_Toc524861530"/>
      <w:bookmarkStart w:id="2" w:name="_Toc32222"/>
      <w:r>
        <w:rPr>
          <w:rFonts w:hint="eastAsia"/>
          <w:szCs w:val="21"/>
          <w:lang w:val="zh-CN" w:eastAsia="zh-CN"/>
        </w:rPr>
        <w:t>哈尔滨九洲集团股份有限公司</w:t>
      </w:r>
      <w:r>
        <w:rPr>
          <w:rFonts w:hint="eastAsia"/>
          <w:szCs w:val="21"/>
          <w:lang w:eastAsia="zh-CN"/>
        </w:rPr>
        <w:t xml:space="preserve">对泰来九洲大兴100MW风电项目220kV升压站土建施工工程（招标编号：JZNY-FLFD-TLDX-ZBWJ-2022-11）进行国内公开招标，现邀请合格的企业参加投标。 </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outlineLvl w:val="0"/>
        <w:rPr>
          <w:rFonts w:hint="default"/>
          <w:color w:val="000000"/>
          <w:szCs w:val="21"/>
          <w:lang w:val="en-US" w:eastAsia="zh-CN"/>
        </w:rPr>
      </w:pPr>
      <w:bookmarkStart w:id="3" w:name="_Toc20741"/>
      <w:bookmarkStart w:id="4" w:name="_Toc524861531"/>
      <w:r>
        <w:rPr>
          <w:rFonts w:hint="eastAsia"/>
          <w:color w:val="000000"/>
          <w:szCs w:val="21"/>
          <w:lang w:eastAsia="zh-CN"/>
        </w:rPr>
        <w:t>主要工作内容：配电间土建及建筑施工、室内外电缆沟铺设、一次二次设备基础施工，室外220KV配电装置基础及电缆沟铺设，施工区域内的降水工程</w:t>
      </w:r>
      <w:r>
        <w:rPr>
          <w:rFonts w:hint="eastAsia"/>
          <w:color w:val="000000"/>
          <w:szCs w:val="21"/>
          <w:lang w:val="en-US" w:eastAsia="zh-CN"/>
        </w:rPr>
        <w:t>等。（详见技术协议、</w:t>
      </w:r>
      <w:bookmarkStart w:id="49" w:name="_GoBack"/>
      <w:bookmarkEnd w:id="49"/>
      <w:r>
        <w:rPr>
          <w:rFonts w:hint="eastAsia"/>
          <w:color w:val="000000"/>
          <w:szCs w:val="21"/>
          <w:lang w:val="en-US" w:eastAsia="zh-CN"/>
        </w:rPr>
        <w:t>图纸）</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18149"/>
      <w:bookmarkStart w:id="6" w:name="_Toc636"/>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完工</w:t>
      </w:r>
      <w:r>
        <w:rPr>
          <w:rFonts w:hint="eastAsia" w:ascii="宋体" w:hAnsi="宋体" w:cs="宋体"/>
          <w:b/>
          <w:color w:val="000000"/>
          <w:kern w:val="0"/>
          <w:szCs w:val="21"/>
        </w:rPr>
        <w:t>期：</w:t>
      </w:r>
      <w:bookmarkEnd w:id="5"/>
      <w:bookmarkEnd w:id="6"/>
    </w:p>
    <w:p>
      <w:pPr>
        <w:widowControl/>
        <w:adjustRightInd w:val="0"/>
        <w:spacing w:line="360" w:lineRule="auto"/>
        <w:ind w:left="178" w:leftChars="85" w:firstLine="535" w:firstLineChars="255"/>
        <w:jc w:val="left"/>
        <w:outlineLvl w:val="0"/>
        <w:rPr>
          <w:rFonts w:hint="eastAsia"/>
          <w:color w:val="000000"/>
          <w:szCs w:val="21"/>
          <w:lang w:val="en-US" w:eastAsia="zh-CN"/>
        </w:rPr>
      </w:pPr>
      <w:bookmarkStart w:id="7" w:name="_Toc27450"/>
      <w:bookmarkStart w:id="8" w:name="_Toc32257"/>
      <w:r>
        <w:rPr>
          <w:rFonts w:hint="eastAsia"/>
          <w:color w:val="000000"/>
          <w:szCs w:val="21"/>
          <w:lang w:val="en-US" w:eastAsia="zh-CN"/>
        </w:rPr>
        <w:t>工程地点：黑龙江省齐齐哈尔市泰来县大兴镇</w:t>
      </w:r>
    </w:p>
    <w:p>
      <w:pPr>
        <w:widowControl/>
        <w:adjustRightInd w:val="0"/>
        <w:spacing w:line="360" w:lineRule="auto"/>
        <w:ind w:left="178" w:leftChars="85" w:firstLine="535" w:firstLineChars="255"/>
        <w:jc w:val="left"/>
        <w:outlineLvl w:val="0"/>
        <w:rPr>
          <w:rFonts w:hint="eastAsia"/>
          <w:color w:val="000000"/>
          <w:szCs w:val="21"/>
          <w:lang w:val="en-US" w:eastAsia="zh-CN"/>
        </w:rPr>
      </w:pPr>
      <w:r>
        <w:rPr>
          <w:rFonts w:hint="eastAsia"/>
          <w:color w:val="000000"/>
          <w:szCs w:val="21"/>
          <w:lang w:val="en-US" w:eastAsia="zh-CN"/>
        </w:rPr>
        <w:t>计划工期：2022年7月30日至2022年9月10日</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hint="eastAsia" w:ascii="宋体" w:hAnsi="宋体"/>
          <w:szCs w:val="21"/>
        </w:rPr>
      </w:pPr>
      <w:r>
        <w:rPr>
          <w:rFonts w:hint="eastAsia" w:ascii="宋体" w:hAnsi="宋体"/>
          <w:szCs w:val="21"/>
        </w:rPr>
        <w:t>1、法人资格：具有中华人民共和国境内注册的独立的企业法人资格；</w:t>
      </w:r>
    </w:p>
    <w:p>
      <w:pPr>
        <w:spacing w:line="360" w:lineRule="auto"/>
        <w:ind w:left="178" w:leftChars="85" w:firstLine="535" w:firstLineChars="255"/>
        <w:rPr>
          <w:rFonts w:hint="eastAsia" w:ascii="宋体" w:hAnsi="宋体"/>
          <w:szCs w:val="21"/>
        </w:rPr>
      </w:pPr>
      <w:r>
        <w:rPr>
          <w:rFonts w:hint="eastAsia" w:ascii="宋体" w:hAnsi="宋体"/>
          <w:szCs w:val="21"/>
        </w:rPr>
        <w:t>2、资质要求：电力施工总承包叁级及以上资质（电压等级220kV为贰级）或市政资质贰级以上；</w:t>
      </w:r>
    </w:p>
    <w:p>
      <w:pPr>
        <w:spacing w:line="360" w:lineRule="auto"/>
        <w:ind w:left="178" w:leftChars="85" w:firstLine="535" w:firstLineChars="255"/>
        <w:rPr>
          <w:rFonts w:hint="eastAsia" w:ascii="宋体" w:hAnsi="宋体"/>
          <w:szCs w:val="21"/>
        </w:rPr>
      </w:pPr>
      <w:r>
        <w:rPr>
          <w:rFonts w:hint="eastAsia" w:ascii="宋体" w:hAnsi="宋体"/>
          <w:szCs w:val="21"/>
        </w:rPr>
        <w:t>3、承装许可：具有国家电监会颁发承装（修）电力设施许可证书叁级及以上资质。</w:t>
      </w:r>
    </w:p>
    <w:p>
      <w:pPr>
        <w:spacing w:line="360" w:lineRule="auto"/>
        <w:ind w:left="178" w:leftChars="85" w:firstLine="535" w:firstLineChars="255"/>
        <w:rPr>
          <w:rFonts w:hint="eastAsia" w:ascii="宋体" w:hAnsi="宋体"/>
          <w:szCs w:val="21"/>
        </w:rPr>
      </w:pPr>
      <w:r>
        <w:rPr>
          <w:rFonts w:hint="eastAsia" w:ascii="宋体" w:hAnsi="宋体"/>
          <w:szCs w:val="21"/>
        </w:rPr>
        <w:t>4、工程业绩：类似工程业绩3项以上。</w:t>
      </w:r>
    </w:p>
    <w:p>
      <w:pPr>
        <w:spacing w:line="360" w:lineRule="auto"/>
        <w:ind w:left="178" w:leftChars="85" w:firstLine="535" w:firstLineChars="255"/>
        <w:rPr>
          <w:rFonts w:hint="eastAsia" w:ascii="宋体" w:hAnsi="宋体"/>
          <w:szCs w:val="21"/>
        </w:rPr>
      </w:pPr>
      <w:r>
        <w:rPr>
          <w:rFonts w:hint="eastAsia" w:ascii="宋体" w:hAnsi="宋体"/>
          <w:szCs w:val="21"/>
        </w:rPr>
        <w:t>5、人员要求:项目经理需具备安全生产考核合格证（B类）和注册二级建造师执业资格且注册在本单位一年以上，具有3项以上类似工程业绩；</w:t>
      </w:r>
    </w:p>
    <w:p>
      <w:pPr>
        <w:spacing w:line="360" w:lineRule="auto"/>
        <w:ind w:left="178" w:leftChars="85" w:firstLine="535" w:firstLineChars="255"/>
        <w:rPr>
          <w:rFonts w:hint="eastAsia" w:ascii="宋体" w:hAnsi="宋体"/>
          <w:szCs w:val="21"/>
        </w:rPr>
      </w:pPr>
      <w:r>
        <w:rPr>
          <w:rFonts w:hint="eastAsia" w:ascii="宋体" w:hAnsi="宋体"/>
          <w:szCs w:val="21"/>
        </w:rPr>
        <w:t>6、财务能力：经营状况良好，连续两年以上盈利，有投标人基本账户所在银行出具的银行资信证明和可用于本项目的流动资金证明（不低于50万元）；</w:t>
      </w:r>
    </w:p>
    <w:p>
      <w:pPr>
        <w:spacing w:line="360" w:lineRule="auto"/>
        <w:ind w:left="178" w:leftChars="85" w:firstLine="535" w:firstLineChars="255"/>
        <w:rPr>
          <w:rFonts w:hint="eastAsia" w:ascii="宋体" w:hAnsi="宋体"/>
          <w:szCs w:val="21"/>
        </w:rPr>
      </w:pPr>
      <w:r>
        <w:rPr>
          <w:rFonts w:hint="eastAsia" w:ascii="宋体" w:hAnsi="宋体"/>
          <w:szCs w:val="21"/>
        </w:rPr>
        <w:t>7、诚信履约：具有良好的商业信誉，工程质量无不良记录，工期无迟延记录；近3年内在合同签订、合同履行过程中，未因不诚信履约被国电集团等国内电力集团列入黑名单，且在处罚期内；</w:t>
      </w:r>
    </w:p>
    <w:p>
      <w:pPr>
        <w:spacing w:line="360" w:lineRule="auto"/>
        <w:ind w:left="178" w:leftChars="85" w:firstLine="535" w:firstLineChars="255"/>
        <w:rPr>
          <w:rFonts w:hint="eastAsia" w:ascii="宋体" w:hAnsi="宋体"/>
          <w:szCs w:val="21"/>
        </w:rPr>
      </w:pPr>
      <w:r>
        <w:rPr>
          <w:rFonts w:hint="eastAsia" w:ascii="宋体" w:hAnsi="宋体"/>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spacing w:line="360" w:lineRule="auto"/>
        <w:ind w:left="178" w:leftChars="85" w:firstLine="535" w:firstLineChars="255"/>
        <w:rPr>
          <w:rFonts w:ascii="宋体" w:hAnsi="宋体"/>
          <w:szCs w:val="21"/>
        </w:rPr>
      </w:pPr>
      <w:r>
        <w:rPr>
          <w:rFonts w:hint="eastAsia" w:ascii="宋体" w:hAnsi="宋体"/>
          <w:szCs w:val="21"/>
        </w:rPr>
        <w:t>9、联合体投标：不接受联合体投标。</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2022年</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日至2022年0</w:t>
      </w:r>
      <w:r>
        <w:rPr>
          <w:rFonts w:hint="eastAsia" w:ascii="宋体" w:hAnsi="宋体" w:cs="宋体"/>
          <w:color w:val="FF0000"/>
          <w:kern w:val="0"/>
          <w:szCs w:val="21"/>
          <w:lang w:val="en-US" w:eastAsia="zh-CN"/>
        </w:rPr>
        <w:t>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15</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8768"/>
      <w:bookmarkStart w:id="12" w:name="_Toc8802"/>
      <w:r>
        <w:rPr>
          <w:rFonts w:hint="eastAsia" w:cs="宋体"/>
          <w:b/>
          <w:color w:val="000000"/>
          <w:szCs w:val="21"/>
        </w:rPr>
        <w:t>六、购买招标文件流程</w:t>
      </w:r>
      <w:bookmarkEnd w:id="11"/>
      <w:bookmarkEnd w:id="12"/>
    </w:p>
    <w:p>
      <w:pPr>
        <w:autoSpaceDE w:val="0"/>
        <w:autoSpaceDN w:val="0"/>
        <w:spacing w:line="360" w:lineRule="auto"/>
        <w:ind w:firstLine="442" w:firstLineChars="196"/>
        <w:rPr>
          <w:rFonts w:hint="default"/>
          <w:spacing w:val="8"/>
          <w:szCs w:val="21"/>
          <w:lang w:val="en-US" w:eastAsia="zh-CN"/>
        </w:rPr>
      </w:pPr>
      <w:r>
        <w:rPr>
          <w:rFonts w:hint="eastAsia"/>
          <w:spacing w:val="8"/>
          <w:szCs w:val="21"/>
        </w:rPr>
        <w:t>1 潜在投标人将如下材料和信息上传至</w:t>
      </w:r>
      <w:r>
        <w:rPr>
          <w:rFonts w:hint="eastAsia"/>
          <w:b w:val="0"/>
          <w:bCs w:val="0"/>
          <w:color w:val="auto"/>
          <w:spacing w:val="8"/>
          <w:szCs w:val="21"/>
          <w:u w:val="single"/>
          <w:lang w:eastAsia="zh-CN"/>
        </w:rPr>
        <w:t xml:space="preserve"> </w:t>
      </w:r>
      <w:r>
        <w:rPr>
          <w:rFonts w:hint="eastAsia"/>
          <w:b w:val="0"/>
          <w:bCs w:val="0"/>
          <w:color w:val="auto"/>
          <w:spacing w:val="8"/>
          <w:szCs w:val="21"/>
          <w:u w:val="single"/>
          <w:lang w:val="en-US" w:eastAsia="zh-CN"/>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747"/>
        <w:gridCol w:w="202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747" w:type="dxa"/>
            <w:vAlign w:val="center"/>
          </w:tcPr>
          <w:p>
            <w:pPr>
              <w:spacing w:line="360" w:lineRule="auto"/>
              <w:jc w:val="center"/>
              <w:rPr>
                <w:rFonts w:cs="宋体"/>
                <w:szCs w:val="21"/>
              </w:rPr>
            </w:pPr>
            <w:r>
              <w:rPr>
                <w:rFonts w:hint="eastAsia" w:cs="宋体"/>
                <w:szCs w:val="21"/>
              </w:rPr>
              <w:t>招标编号</w:t>
            </w:r>
          </w:p>
        </w:tc>
        <w:tc>
          <w:tcPr>
            <w:tcW w:w="2029"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410" w:lineRule="atLeast"/>
              <w:jc w:val="left"/>
              <w:rPr>
                <w:rFonts w:hint="eastAsia" w:ascii="宋体" w:hAnsi="宋体" w:eastAsia="宋体" w:cs="宋体"/>
                <w:b w:val="0"/>
                <w:bCs w:val="0"/>
                <w:sz w:val="21"/>
                <w:szCs w:val="21"/>
                <w:lang w:eastAsia="zh-CN"/>
              </w:rPr>
            </w:pPr>
            <w:r>
              <w:rPr>
                <w:rFonts w:hint="eastAsia" w:cs="宋体" w:asciiTheme="minorEastAsia" w:hAnsiTheme="minorEastAsia" w:eastAsiaTheme="minorEastAsia"/>
                <w:b w:val="0"/>
                <w:bCs w:val="0"/>
                <w:sz w:val="21"/>
                <w:szCs w:val="21"/>
                <w:lang w:val="zh-CN"/>
              </w:rPr>
              <w:t>泰来九洲</w:t>
            </w:r>
            <w:r>
              <w:rPr>
                <w:rFonts w:hint="eastAsia" w:cs="宋体" w:asciiTheme="minorEastAsia" w:hAnsiTheme="minorEastAsia" w:eastAsiaTheme="minorEastAsia"/>
                <w:b w:val="0"/>
                <w:bCs w:val="0"/>
                <w:sz w:val="21"/>
                <w:szCs w:val="21"/>
                <w:lang w:val="en-US" w:eastAsia="zh-CN"/>
              </w:rPr>
              <w:t>大兴100MW风电项目220KV升压站土建施工工程</w:t>
            </w:r>
          </w:p>
        </w:tc>
        <w:tc>
          <w:tcPr>
            <w:tcW w:w="1747" w:type="dxa"/>
            <w:vAlign w:val="center"/>
          </w:tcPr>
          <w:p>
            <w:pPr>
              <w:spacing w:line="360" w:lineRule="auto"/>
              <w:jc w:val="left"/>
              <w:rPr>
                <w:rFonts w:hint="eastAsia" w:ascii="宋体" w:hAnsi="宋体" w:eastAsia="宋体" w:cs="宋体"/>
                <w:b w:val="0"/>
                <w:bCs w:val="0"/>
                <w:sz w:val="21"/>
                <w:szCs w:val="21"/>
                <w:lang w:eastAsia="zh-CN"/>
              </w:rPr>
            </w:pPr>
            <w:r>
              <w:rPr>
                <w:rFonts w:hint="eastAsia" w:cs="宋体" w:asciiTheme="minorEastAsia" w:hAnsiTheme="minorEastAsia" w:eastAsiaTheme="minorEastAsia"/>
                <w:b w:val="0"/>
                <w:bCs w:val="0"/>
                <w:sz w:val="21"/>
                <w:szCs w:val="21"/>
                <w:lang w:val="zh-CN" w:eastAsia="zh-CN"/>
              </w:rPr>
              <w:t>JZNY-FLFD-TLDX-ZBWJ-2022-11</w:t>
            </w:r>
          </w:p>
        </w:tc>
        <w:tc>
          <w:tcPr>
            <w:tcW w:w="2029" w:type="dxa"/>
            <w:vAlign w:val="center"/>
          </w:tcPr>
          <w:p>
            <w:pPr>
              <w:spacing w:line="360" w:lineRule="auto"/>
              <w:ind w:firstLine="420" w:firstLineChars="200"/>
              <w:jc w:val="center"/>
              <w:rPr>
                <w:rFonts w:cs="宋体"/>
                <w:b w:val="0"/>
                <w:bCs w:val="0"/>
                <w:sz w:val="21"/>
                <w:szCs w:val="21"/>
              </w:rPr>
            </w:pPr>
          </w:p>
        </w:tc>
        <w:tc>
          <w:tcPr>
            <w:tcW w:w="1796" w:type="dxa"/>
            <w:vAlign w:val="center"/>
          </w:tcPr>
          <w:p>
            <w:pPr>
              <w:spacing w:line="360" w:lineRule="auto"/>
              <w:ind w:firstLine="420" w:firstLineChars="200"/>
              <w:jc w:val="center"/>
              <w:rPr>
                <w:rFonts w:cs="宋体"/>
                <w:b w:val="0"/>
                <w:bCs w:val="0"/>
                <w:sz w:val="21"/>
                <w:szCs w:val="21"/>
              </w:rPr>
            </w:pPr>
          </w:p>
        </w:tc>
        <w:tc>
          <w:tcPr>
            <w:tcW w:w="1793" w:type="dxa"/>
            <w:vAlign w:val="center"/>
          </w:tcPr>
          <w:p>
            <w:pPr>
              <w:spacing w:line="360" w:lineRule="auto"/>
              <w:ind w:firstLine="420" w:firstLineChars="200"/>
              <w:jc w:val="center"/>
              <w:rPr>
                <w:rFonts w:cs="宋体"/>
                <w:b w:val="0"/>
                <w:bCs w:val="0"/>
                <w:sz w:val="21"/>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所有投标文件于</w:t>
      </w:r>
      <w:r>
        <w:rPr>
          <w:rFonts w:hint="eastAsia" w:ascii="宋体" w:hAnsi="宋体" w:cs="宋体"/>
          <w:color w:val="FF0000"/>
          <w:kern w:val="0"/>
          <w:szCs w:val="21"/>
          <w:lang w:eastAsia="zh-CN"/>
        </w:rPr>
        <w:t>2022年07月1</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日上午10:00前</w:t>
      </w:r>
      <w:r>
        <w:rPr>
          <w:rFonts w:hint="eastAsia" w:ascii="宋体" w:hAnsi="宋体" w:cs="宋体"/>
          <w:color w:val="FF0000"/>
          <w:kern w:val="0"/>
          <w:szCs w:val="21"/>
        </w:rPr>
        <w:t>（北京时间)</w:t>
      </w:r>
      <w:r>
        <w:rPr>
          <w:rFonts w:hint="eastAsia" w:ascii="宋体" w:hAnsi="宋体" w:cs="宋体"/>
          <w:color w:val="000000"/>
          <w:kern w:val="0"/>
          <w:szCs w:val="21"/>
        </w:rPr>
        <w:t>发送到</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2"/>
          <w:rFonts w:hint="eastAsia"/>
          <w:color w:val="FF0000"/>
          <w:spacing w:val="8"/>
          <w:szCs w:val="21"/>
          <w:lang w:eastAsia="zh-CN"/>
        </w:rPr>
        <w:t>zb@jze.com.cn</w:t>
      </w:r>
      <w:r>
        <w:rPr>
          <w:rFonts w:hint="eastAsia"/>
          <w:color w:val="FF0000"/>
          <w:spacing w:val="8"/>
          <w:szCs w:val="21"/>
          <w:lang w:eastAsia="zh-CN"/>
        </w:rPr>
        <w:fldChar w:fldCharType="end"/>
      </w:r>
    </w:p>
    <w:p>
      <w:pPr>
        <w:widowControl/>
        <w:tabs>
          <w:tab w:val="left" w:pos="1918"/>
        </w:tabs>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2022年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15</w:t>
      </w:r>
      <w:r>
        <w:rPr>
          <w:rFonts w:hint="eastAsia" w:ascii="宋体" w:hAnsi="宋体"/>
          <w:color w:val="FF0000"/>
          <w:szCs w:val="21"/>
          <w:lang w:eastAsia="zh-CN"/>
        </w:rPr>
        <w:t>日</w:t>
      </w:r>
      <w:r>
        <w:rPr>
          <w:rFonts w:hint="eastAsia" w:ascii="宋体" w:hAnsi="宋体" w:cs="宋体"/>
          <w:color w:val="FF0000"/>
          <w:kern w:val="0"/>
          <w:szCs w:val="21"/>
          <w:lang w:eastAsia="zh-CN"/>
        </w:rPr>
        <w:t>上午</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pPr>
      <w:bookmarkStart w:id="15" w:name="_Toc4900"/>
      <w:bookmarkStart w:id="16" w:name="_Toc419464291"/>
      <w:bookmarkStart w:id="17" w:name="_Toc2514"/>
      <w:r>
        <w:rPr>
          <w:rFonts w:hint="eastAsia" w:ascii="宋体" w:hAnsi="宋体"/>
          <w:szCs w:val="21"/>
        </w:rPr>
        <w:t>开标地点：</w:t>
      </w:r>
      <w:r>
        <w:t>电子开标，无需到现场，请将投标文件发至</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2"/>
          <w:rFonts w:hint="eastAsia"/>
          <w:color w:val="FF0000"/>
          <w:spacing w:val="8"/>
          <w:szCs w:val="21"/>
          <w:lang w:eastAsia="zh-CN"/>
        </w:rPr>
        <w:t>zb@jze.com.cn</w:t>
      </w:r>
      <w:r>
        <w:rPr>
          <w:rFonts w:hint="eastAsia"/>
          <w:color w:val="FF0000"/>
          <w:spacing w:val="8"/>
          <w:szCs w:val="21"/>
          <w:lang w:eastAsia="zh-CN"/>
        </w:rPr>
        <w:fldChar w:fldCharType="end"/>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2991"/>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ascii="宋体" w:hAnsi="宋体"/>
        </w:rPr>
        <w:t>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b w:val="0"/>
          <w:bCs w:val="0"/>
          <w:color w:val="auto"/>
        </w:rPr>
        <w:t>：</w:t>
      </w:r>
      <w:r>
        <w:rPr>
          <w:rFonts w:hint="eastAsia"/>
          <w:b w:val="0"/>
          <w:bCs w:val="0"/>
          <w:color w:val="auto"/>
          <w:spacing w:val="8"/>
          <w:szCs w:val="21"/>
          <w:u w:val="single"/>
          <w:lang w:val="en-US" w:eastAsia="zh-CN"/>
        </w:rPr>
        <w:t>jzcg5@jiuzhougroup.com</w:t>
      </w:r>
    </w:p>
    <w:p>
      <w:pPr>
        <w:widowControl/>
        <w:tabs>
          <w:tab w:val="left" w:pos="1918"/>
        </w:tabs>
        <w:spacing w:line="360" w:lineRule="auto"/>
        <w:ind w:firstLine="420" w:firstLineChars="200"/>
        <w:rPr>
          <w:rFonts w:hint="eastAsia" w:ascii="宋体" w:hAnsi="宋体"/>
        </w:rPr>
      </w:pPr>
      <w:r>
        <w:rPr>
          <w:rFonts w:hint="eastAsia" w:ascii="宋体" w:hAnsi="宋体"/>
        </w:rPr>
        <w:t>技术澄清联系人：王旭</w:t>
      </w:r>
    </w:p>
    <w:p>
      <w:pPr>
        <w:widowControl/>
        <w:tabs>
          <w:tab w:val="left" w:pos="1918"/>
        </w:tabs>
        <w:spacing w:line="360" w:lineRule="auto"/>
        <w:ind w:firstLine="420" w:firstLineChars="200"/>
        <w:rPr>
          <w:rFonts w:hint="eastAsia" w:ascii="宋体" w:hAnsi="宋体"/>
        </w:rPr>
      </w:pPr>
      <w:r>
        <w:rPr>
          <w:rFonts w:hint="eastAsia" w:ascii="宋体" w:hAnsi="宋体"/>
        </w:rPr>
        <w:t>联系电话：17519943432</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哈尔滨九洲集团服份有限公司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widowControl/>
        <w:tabs>
          <w:tab w:val="left" w:pos="1918"/>
        </w:tabs>
        <w:spacing w:line="360" w:lineRule="auto"/>
        <w:ind w:firstLine="420" w:firstLineChars="200"/>
        <w:rPr>
          <w:rFonts w:hint="eastAsia" w:ascii="宋体" w:hAnsi="宋体"/>
        </w:rPr>
      </w:pPr>
      <w:r>
        <w:rPr>
          <w:rFonts w:hint="eastAsia" w:ascii="宋体" w:hAnsi="宋体"/>
        </w:rPr>
        <w:t>户    名：哈尔滨九洲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hint="eastAsia" w:ascii="宋体" w:hAnsi="宋体"/>
        </w:rPr>
      </w:pPr>
      <w:r>
        <w:rPr>
          <w:rFonts w:hint="eastAsia" w:ascii="宋体" w:hAnsi="宋体"/>
        </w:rPr>
        <w:t>开 户 行：中国建设银行股份有限公司哈尔滨铁道支行</w:t>
      </w:r>
    </w:p>
    <w:p>
      <w:pPr>
        <w:widowControl/>
        <w:tabs>
          <w:tab w:val="left" w:pos="1918"/>
        </w:tabs>
        <w:spacing w:line="360" w:lineRule="auto"/>
        <w:ind w:firstLine="420" w:firstLineChars="200"/>
        <w:rPr>
          <w:rFonts w:hint="eastAsia" w:ascii="宋体" w:hAnsi="宋体"/>
        </w:rPr>
      </w:pPr>
      <w:r>
        <w:rPr>
          <w:rFonts w:hint="eastAsia" w:ascii="宋体" w:hAnsi="宋体"/>
        </w:rPr>
        <w:t>账    号：2300 1867 15105 000 2942</w:t>
      </w:r>
    </w:p>
    <w:p>
      <w:pPr>
        <w:widowControl/>
        <w:tabs>
          <w:tab w:val="left" w:pos="1918"/>
        </w:tabs>
        <w:spacing w:line="360" w:lineRule="auto"/>
        <w:ind w:firstLine="420" w:firstLineChars="200"/>
        <w:rPr>
          <w:rFonts w:hint="eastAsia"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pStyle w:val="4"/>
      </w:pPr>
      <w:bookmarkStart w:id="21" w:name="_Toc33419395"/>
      <w:bookmarkStart w:id="22" w:name="_Toc35489289"/>
      <w:bookmarkStart w:id="23" w:name="_Toc14767705"/>
      <w:bookmarkStart w:id="24" w:name="_Toc9910"/>
      <w:bookmarkStart w:id="25" w:name="_Toc248647668"/>
      <w:r>
        <w:rPr>
          <w:rFonts w:hint="eastAsia"/>
        </w:rPr>
        <w:t>第二章</w:t>
      </w:r>
      <w:bookmarkEnd w:id="21"/>
      <w:bookmarkEnd w:id="22"/>
      <w:bookmarkEnd w:id="23"/>
      <w:bookmarkStart w:id="26" w:name="_Toc18139631"/>
      <w:bookmarkStart w:id="27" w:name="_Toc14766695"/>
      <w:bookmarkStart w:id="28" w:name="_Toc20367202"/>
      <w:bookmarkStart w:id="29" w:name="_Toc22980320"/>
      <w:bookmarkStart w:id="30" w:name="_Toc19111734"/>
      <w:bookmarkStart w:id="31" w:name="_Toc30413444"/>
      <w:bookmarkStart w:id="32" w:name="_Toc22809472"/>
      <w:bookmarkStart w:id="33" w:name="_Toc18979746"/>
      <w:bookmarkStart w:id="34" w:name="_Toc26092393"/>
      <w:bookmarkStart w:id="35" w:name="_Toc35419562"/>
      <w:bookmarkStart w:id="36" w:name="_Toc23476052"/>
      <w:bookmarkStart w:id="37" w:name="_Toc25813367"/>
      <w:bookmarkStart w:id="38" w:name="_Toc33419396"/>
      <w:bookmarkStart w:id="39" w:name="_Toc20484467"/>
      <w:bookmarkStart w:id="40" w:name="_Toc18139830"/>
      <w:bookmarkStart w:id="41" w:name="_Toc23125777"/>
      <w:bookmarkStart w:id="42" w:name="_Toc35489290"/>
      <w:bookmarkStart w:id="43" w:name="_Toc19098945"/>
      <w:bookmarkStart w:id="44" w:name="_Toc35173002"/>
      <w:bookmarkStart w:id="45" w:name="_Toc14767706"/>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60"/>
      <w:bookmarkStart w:id="47" w:name="_Toc248647669"/>
      <w:bookmarkStart w:id="48" w:name="_Toc1409"/>
      <w:r>
        <w:rPr>
          <w:rFonts w:hint="eastAsia"/>
          <w:b/>
          <w:sz w:val="28"/>
          <w:szCs w:val="28"/>
        </w:rPr>
        <w:t>一、投标人须知前附表</w:t>
      </w:r>
      <w:bookmarkEnd w:id="46"/>
      <w:bookmarkEnd w:id="47"/>
      <w:bookmarkEnd w:id="48"/>
    </w:p>
    <w:tbl>
      <w:tblPr>
        <w:tblStyle w:val="10"/>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06" w:type="dxa"/>
            <w:vAlign w:val="center"/>
          </w:tcPr>
          <w:p>
            <w:pPr>
              <w:jc w:val="center"/>
              <w:rPr>
                <w:szCs w:val="21"/>
              </w:rPr>
            </w:pPr>
            <w:r>
              <w:rPr>
                <w:rFonts w:hint="eastAsia"/>
                <w:szCs w:val="21"/>
              </w:rPr>
              <w:t>序号</w:t>
            </w:r>
          </w:p>
        </w:tc>
        <w:tc>
          <w:tcPr>
            <w:tcW w:w="7561"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0" w:hRule="atLeast"/>
        </w:trPr>
        <w:tc>
          <w:tcPr>
            <w:tcW w:w="1006" w:type="dxa"/>
            <w:vAlign w:val="center"/>
          </w:tcPr>
          <w:p>
            <w:pPr>
              <w:jc w:val="center"/>
              <w:rPr>
                <w:szCs w:val="21"/>
              </w:rPr>
            </w:pPr>
            <w:r>
              <w:rPr>
                <w:rFonts w:hint="eastAsia"/>
                <w:szCs w:val="21"/>
              </w:rPr>
              <w:t>1</w:t>
            </w:r>
          </w:p>
        </w:tc>
        <w:tc>
          <w:tcPr>
            <w:tcW w:w="7561" w:type="dxa"/>
          </w:tcPr>
          <w:p>
            <w:pPr>
              <w:spacing w:line="360" w:lineRule="auto"/>
              <w:rPr>
                <w:rFonts w:hint="eastAsia"/>
                <w:color w:val="000000"/>
                <w:szCs w:val="21"/>
                <w:lang w:eastAsia="zh-CN"/>
              </w:rPr>
            </w:pPr>
            <w:r>
              <w:rPr>
                <w:rFonts w:hint="eastAsia"/>
                <w:color w:val="000000"/>
                <w:szCs w:val="21"/>
                <w:lang w:eastAsia="zh-CN"/>
              </w:rPr>
              <w:t>1、工程名称：泰来九洲大兴100MW风电项目220V升压站土建工程</w:t>
            </w:r>
          </w:p>
          <w:p>
            <w:pPr>
              <w:spacing w:line="360" w:lineRule="auto"/>
              <w:rPr>
                <w:rFonts w:hint="eastAsia"/>
                <w:color w:val="000000"/>
                <w:szCs w:val="21"/>
                <w:lang w:eastAsia="zh-CN"/>
              </w:rPr>
            </w:pPr>
            <w:r>
              <w:rPr>
                <w:rFonts w:hint="eastAsia"/>
                <w:color w:val="000000"/>
                <w:szCs w:val="21"/>
                <w:lang w:eastAsia="zh-CN"/>
              </w:rPr>
              <w:t>2、建设地点：黑龙江省齐齐哈尔市泰来县大兴镇</w:t>
            </w:r>
          </w:p>
          <w:p>
            <w:pPr>
              <w:spacing w:line="360" w:lineRule="auto"/>
              <w:rPr>
                <w:rFonts w:hint="eastAsia"/>
                <w:color w:val="000000"/>
                <w:szCs w:val="21"/>
                <w:lang w:eastAsia="zh-CN"/>
              </w:rPr>
            </w:pPr>
            <w:r>
              <w:rPr>
                <w:rFonts w:hint="eastAsia"/>
                <w:color w:val="000000"/>
                <w:szCs w:val="21"/>
                <w:lang w:eastAsia="zh-CN"/>
              </w:rPr>
              <w:t>3、招标内容：</w:t>
            </w:r>
          </w:p>
          <w:p>
            <w:pPr>
              <w:spacing w:line="360" w:lineRule="auto"/>
              <w:rPr>
                <w:rFonts w:hint="eastAsia"/>
                <w:color w:val="000000"/>
                <w:szCs w:val="21"/>
                <w:lang w:eastAsia="zh-CN"/>
              </w:rPr>
            </w:pPr>
            <w:r>
              <w:rPr>
                <w:rFonts w:hint="eastAsia"/>
                <w:color w:val="000000"/>
                <w:szCs w:val="21"/>
                <w:lang w:eastAsia="zh-CN"/>
              </w:rPr>
              <w:t>（1）土建主要工作内容包括：配电间土建及建筑施工、室内外电缆沟铺设、一次二次设备基础施工，室外220KV配电装置基础及电缆沟铺设。</w:t>
            </w:r>
          </w:p>
          <w:p>
            <w:pPr>
              <w:spacing w:line="360" w:lineRule="auto"/>
              <w:rPr>
                <w:rFonts w:hint="eastAsia"/>
                <w:color w:val="000000"/>
                <w:szCs w:val="21"/>
                <w:lang w:eastAsia="zh-CN"/>
              </w:rPr>
            </w:pPr>
            <w:r>
              <w:rPr>
                <w:rFonts w:hint="eastAsia"/>
                <w:color w:val="000000"/>
                <w:szCs w:val="21"/>
                <w:lang w:eastAsia="zh-CN"/>
              </w:rPr>
              <w:t>（2）符合环评、水保和安评验收要求。</w:t>
            </w:r>
          </w:p>
          <w:p>
            <w:pPr>
              <w:spacing w:line="360" w:lineRule="auto"/>
              <w:rPr>
                <w:rFonts w:hint="eastAsia"/>
                <w:color w:val="000000"/>
                <w:szCs w:val="21"/>
                <w:lang w:eastAsia="zh-CN"/>
              </w:rPr>
            </w:pPr>
            <w:r>
              <w:rPr>
                <w:rFonts w:hint="eastAsia"/>
                <w:color w:val="000000"/>
                <w:szCs w:val="21"/>
                <w:lang w:eastAsia="zh-CN"/>
              </w:rPr>
              <w:t>（3）内页资料（包括所用材料需第三方检验机构出具试验报告）满足可再生能源发电工程质量监督站黑龙江分站</w:t>
            </w:r>
          </w:p>
          <w:p>
            <w:pPr>
              <w:spacing w:line="360" w:lineRule="auto"/>
              <w:rPr>
                <w:rFonts w:hint="eastAsia"/>
                <w:color w:val="000000"/>
                <w:szCs w:val="21"/>
                <w:lang w:eastAsia="zh-CN"/>
              </w:rPr>
            </w:pPr>
            <w:r>
              <w:rPr>
                <w:rFonts w:hint="eastAsia"/>
                <w:color w:val="000000"/>
                <w:szCs w:val="21"/>
                <w:lang w:eastAsia="zh-CN"/>
              </w:rPr>
              <w:t>（4）满足工程报建相关资料要求。</w:t>
            </w:r>
          </w:p>
          <w:p>
            <w:pPr>
              <w:spacing w:line="360" w:lineRule="auto"/>
              <w:rPr>
                <w:rFonts w:hint="eastAsia"/>
                <w:color w:val="000000"/>
                <w:szCs w:val="21"/>
                <w:lang w:eastAsia="zh-CN"/>
              </w:rPr>
            </w:pPr>
            <w:r>
              <w:rPr>
                <w:rFonts w:hint="eastAsia"/>
                <w:color w:val="000000"/>
                <w:szCs w:val="21"/>
                <w:lang w:eastAsia="zh-CN"/>
              </w:rPr>
              <w:t>（5）施工区域内的降水工程。</w:t>
            </w:r>
          </w:p>
          <w:p>
            <w:pPr>
              <w:spacing w:line="360" w:lineRule="auto"/>
              <w:rPr>
                <w:rFonts w:hint="eastAsia"/>
                <w:color w:val="000000"/>
                <w:szCs w:val="21"/>
                <w:lang w:eastAsia="zh-CN"/>
              </w:rPr>
            </w:pPr>
            <w:r>
              <w:rPr>
                <w:rFonts w:hint="eastAsia"/>
                <w:color w:val="000000"/>
                <w:szCs w:val="21"/>
                <w:lang w:eastAsia="zh-CN"/>
              </w:rPr>
              <w:t>4、承包方式：配电间土建结构及建筑工程为一口价包死，一次二次设备基础及屋外配电装置基础为定额结算，</w:t>
            </w:r>
          </w:p>
          <w:p>
            <w:pPr>
              <w:spacing w:line="360" w:lineRule="auto"/>
              <w:rPr>
                <w:rFonts w:hint="eastAsia"/>
                <w:color w:val="000000"/>
                <w:szCs w:val="21"/>
                <w:lang w:eastAsia="zh-CN"/>
              </w:rPr>
            </w:pPr>
            <w:r>
              <w:rPr>
                <w:rFonts w:hint="eastAsia"/>
                <w:color w:val="000000"/>
                <w:szCs w:val="21"/>
                <w:lang w:eastAsia="zh-CN"/>
              </w:rPr>
              <w:t>5、质量标准：合格，达到国家有关施工规范及《风力发电工程达标投产验收规程》（NB/T31022-2012）的要求。</w:t>
            </w:r>
          </w:p>
          <w:p>
            <w:pPr>
              <w:spacing w:line="360" w:lineRule="auto"/>
              <w:rPr>
                <w:szCs w:val="21"/>
              </w:rPr>
            </w:pPr>
            <w:r>
              <w:rPr>
                <w:rFonts w:hint="eastAsia"/>
                <w:color w:val="000000"/>
                <w:szCs w:val="21"/>
                <w:lang w:eastAsia="zh-CN"/>
              </w:rPr>
              <w:t>6、计划工期：2022年7月30日至2022年9月10日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6" w:type="dxa"/>
            <w:vAlign w:val="center"/>
          </w:tcPr>
          <w:p>
            <w:pPr>
              <w:jc w:val="center"/>
              <w:rPr>
                <w:szCs w:val="21"/>
              </w:rPr>
            </w:pPr>
            <w:r>
              <w:rPr>
                <w:rFonts w:hint="eastAsia"/>
                <w:szCs w:val="21"/>
              </w:rPr>
              <w:t>2</w:t>
            </w:r>
          </w:p>
        </w:tc>
        <w:tc>
          <w:tcPr>
            <w:tcW w:w="7561"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06" w:type="dxa"/>
            <w:vAlign w:val="center"/>
          </w:tcPr>
          <w:p>
            <w:pPr>
              <w:jc w:val="center"/>
              <w:rPr>
                <w:szCs w:val="21"/>
              </w:rPr>
            </w:pPr>
            <w:r>
              <w:rPr>
                <w:rFonts w:hint="eastAsia"/>
                <w:szCs w:val="21"/>
              </w:rPr>
              <w:t>3</w:t>
            </w:r>
          </w:p>
        </w:tc>
        <w:tc>
          <w:tcPr>
            <w:tcW w:w="7561" w:type="dxa"/>
            <w:vAlign w:val="center"/>
          </w:tcPr>
          <w:p>
            <w:pPr>
              <w:spacing w:line="360" w:lineRule="auto"/>
              <w:rPr>
                <w:rFonts w:hint="eastAsia" w:ascii="宋体" w:hAnsi="宋体"/>
                <w:szCs w:val="21"/>
              </w:rPr>
            </w:pPr>
            <w:r>
              <w:rPr>
                <w:rFonts w:hint="eastAsia" w:ascii="宋体" w:hAnsi="宋体"/>
                <w:szCs w:val="21"/>
              </w:rPr>
              <w:t>1、法人资格：具有中华人民共和国境内注册的独立的企业法人资格；</w:t>
            </w:r>
          </w:p>
          <w:p>
            <w:pPr>
              <w:spacing w:line="360" w:lineRule="auto"/>
              <w:rPr>
                <w:rFonts w:hint="eastAsia" w:ascii="宋体" w:hAnsi="宋体"/>
                <w:szCs w:val="21"/>
              </w:rPr>
            </w:pPr>
            <w:r>
              <w:rPr>
                <w:rFonts w:hint="eastAsia" w:ascii="宋体" w:hAnsi="宋体"/>
                <w:szCs w:val="21"/>
              </w:rPr>
              <w:t>2、资质要求：电力施工总承包叁级及以上资质；</w:t>
            </w:r>
          </w:p>
          <w:p>
            <w:pPr>
              <w:spacing w:line="360" w:lineRule="auto"/>
              <w:rPr>
                <w:rFonts w:hint="eastAsia" w:ascii="宋体" w:hAnsi="宋体"/>
                <w:szCs w:val="21"/>
              </w:rPr>
            </w:pPr>
            <w:r>
              <w:rPr>
                <w:rFonts w:hint="eastAsia" w:ascii="宋体" w:hAnsi="宋体"/>
                <w:szCs w:val="21"/>
              </w:rPr>
              <w:t>3、承装许可：具有国家电监会颁发承装（修）电力设施许可证书叁级及以上资质；</w:t>
            </w:r>
          </w:p>
          <w:p>
            <w:pPr>
              <w:spacing w:line="360" w:lineRule="auto"/>
              <w:rPr>
                <w:rFonts w:hint="eastAsia" w:ascii="宋体" w:hAnsi="宋体"/>
                <w:szCs w:val="21"/>
              </w:rPr>
            </w:pPr>
            <w:r>
              <w:rPr>
                <w:rFonts w:hint="eastAsia" w:ascii="宋体" w:hAnsi="宋体"/>
                <w:szCs w:val="21"/>
              </w:rPr>
              <w:t>4、工程业绩：类似工程业绩3项以上。</w:t>
            </w:r>
          </w:p>
          <w:p>
            <w:pPr>
              <w:spacing w:line="360" w:lineRule="auto"/>
              <w:rPr>
                <w:rFonts w:hint="eastAsia" w:ascii="宋体" w:hAnsi="宋体"/>
                <w:szCs w:val="21"/>
              </w:rPr>
            </w:pPr>
            <w:r>
              <w:rPr>
                <w:rFonts w:hint="eastAsia" w:ascii="宋体" w:hAnsi="宋体"/>
                <w:szCs w:val="21"/>
              </w:rPr>
              <w:t>5、人员要求:项目经理需具备安全生产考核合格证（B类）和注册二级建造师执业资格且注册在本单位一年以上，具有3项以上类似工程业绩；</w:t>
            </w:r>
          </w:p>
          <w:p>
            <w:pPr>
              <w:spacing w:line="360" w:lineRule="auto"/>
              <w:rPr>
                <w:rFonts w:hint="eastAsia" w:ascii="宋体" w:hAnsi="宋体"/>
                <w:szCs w:val="21"/>
              </w:rPr>
            </w:pPr>
            <w:r>
              <w:rPr>
                <w:rFonts w:hint="eastAsia" w:ascii="宋体" w:hAnsi="宋体"/>
                <w:szCs w:val="21"/>
              </w:rPr>
              <w:t>6、财务能力：经营状况良好，连续两年以上盈利，有投标人基本账户所在银行出具的银行资信证明和可用于本项目的流动资金证明（不低于50万元）；</w:t>
            </w:r>
          </w:p>
          <w:p>
            <w:pPr>
              <w:spacing w:line="360" w:lineRule="auto"/>
              <w:rPr>
                <w:rFonts w:hint="eastAsia" w:ascii="宋体" w:hAnsi="宋体"/>
                <w:szCs w:val="21"/>
              </w:rPr>
            </w:pPr>
            <w:r>
              <w:rPr>
                <w:rFonts w:hint="eastAsia" w:ascii="宋体" w:hAnsi="宋体"/>
                <w:szCs w:val="21"/>
              </w:rPr>
              <w:t>7、诚信履约：具有良好的商业信誉，工程质量无不良记录，工期无迟延记录；近3年内在合同签订、合同履行过程中，未因不诚信履约被国电集团等国内电力集团列入黑名单，且在处罚期内；</w:t>
            </w:r>
          </w:p>
          <w:p>
            <w:pPr>
              <w:spacing w:line="360" w:lineRule="auto"/>
              <w:rPr>
                <w:rFonts w:hint="eastAsia" w:ascii="宋体" w:hAnsi="宋体"/>
                <w:szCs w:val="21"/>
              </w:rPr>
            </w:pPr>
            <w:r>
              <w:rPr>
                <w:rFonts w:hint="eastAsia" w:ascii="宋体" w:hAnsi="宋体"/>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spacing w:line="360" w:lineRule="auto"/>
              <w:rPr>
                <w:szCs w:val="21"/>
              </w:rPr>
            </w:pPr>
            <w:r>
              <w:rPr>
                <w:rFonts w:hint="eastAsia" w:ascii="宋体" w:hAnsi="宋体"/>
                <w:szCs w:val="21"/>
              </w:rPr>
              <w:t>9、联合体投标：不接受联合体投标。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06" w:type="dxa"/>
            <w:vAlign w:val="center"/>
          </w:tcPr>
          <w:p>
            <w:pPr>
              <w:jc w:val="center"/>
              <w:rPr>
                <w:szCs w:val="21"/>
              </w:rPr>
            </w:pPr>
            <w:r>
              <w:rPr>
                <w:rFonts w:hint="eastAsia"/>
                <w:szCs w:val="21"/>
              </w:rPr>
              <w:t>4</w:t>
            </w:r>
          </w:p>
        </w:tc>
        <w:tc>
          <w:tcPr>
            <w:tcW w:w="7561"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006" w:type="dxa"/>
            <w:vAlign w:val="center"/>
          </w:tcPr>
          <w:p>
            <w:pPr>
              <w:jc w:val="center"/>
              <w:rPr>
                <w:szCs w:val="21"/>
              </w:rPr>
            </w:pPr>
            <w:r>
              <w:rPr>
                <w:rFonts w:hint="eastAsia"/>
                <w:szCs w:val="21"/>
              </w:rPr>
              <w:t>5</w:t>
            </w:r>
          </w:p>
        </w:tc>
        <w:tc>
          <w:tcPr>
            <w:tcW w:w="7561"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b w:val="0"/>
                <w:bCs w:val="0"/>
                <w:color w:val="auto"/>
                <w:szCs w:val="21"/>
                <w:highlight w:val="none"/>
              </w:rPr>
              <w:t>：</w:t>
            </w:r>
            <w:r>
              <w:rPr>
                <w:rFonts w:hint="eastAsia"/>
                <w:b w:val="0"/>
                <w:bCs w:val="0"/>
                <w:color w:val="auto"/>
                <w:szCs w:val="21"/>
                <w:highlight w:val="none"/>
                <w:lang w:val="en-US" w:eastAsia="zh-CN"/>
              </w:rPr>
              <w:t>10000</w:t>
            </w:r>
            <w:r>
              <w:rPr>
                <w:rFonts w:hint="eastAsia"/>
                <w:b w:val="0"/>
                <w:bCs w:val="0"/>
                <w:color w:val="auto"/>
                <w:szCs w:val="21"/>
                <w:highlight w:val="none"/>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06" w:type="dxa"/>
            <w:vAlign w:val="center"/>
          </w:tcPr>
          <w:p>
            <w:pPr>
              <w:jc w:val="center"/>
              <w:rPr>
                <w:szCs w:val="21"/>
              </w:rPr>
            </w:pPr>
            <w:r>
              <w:rPr>
                <w:rFonts w:hint="eastAsia"/>
                <w:szCs w:val="21"/>
              </w:rPr>
              <w:t>6</w:t>
            </w:r>
          </w:p>
        </w:tc>
        <w:tc>
          <w:tcPr>
            <w:tcW w:w="7561"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06" w:type="dxa"/>
            <w:vAlign w:val="center"/>
          </w:tcPr>
          <w:p>
            <w:pPr>
              <w:jc w:val="center"/>
              <w:rPr>
                <w:szCs w:val="21"/>
              </w:rPr>
            </w:pPr>
            <w:r>
              <w:rPr>
                <w:rFonts w:hint="eastAsia"/>
                <w:szCs w:val="21"/>
              </w:rPr>
              <w:t>7</w:t>
            </w:r>
          </w:p>
        </w:tc>
        <w:tc>
          <w:tcPr>
            <w:tcW w:w="7561"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r>
              <w:rPr>
                <w:rFonts w:hint="eastAsia"/>
                <w:szCs w:val="21"/>
                <w:lang w:val="en-US" w:eastAsia="zh-CN"/>
              </w:rPr>
              <w:t>提出</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06" w:type="dxa"/>
            <w:vAlign w:val="center"/>
          </w:tcPr>
          <w:p>
            <w:pPr>
              <w:jc w:val="center"/>
              <w:rPr>
                <w:szCs w:val="21"/>
              </w:rPr>
            </w:pPr>
            <w:r>
              <w:rPr>
                <w:rFonts w:hint="eastAsia"/>
                <w:szCs w:val="21"/>
              </w:rPr>
              <w:t>8</w:t>
            </w:r>
          </w:p>
        </w:tc>
        <w:tc>
          <w:tcPr>
            <w:tcW w:w="7561" w:type="dxa"/>
            <w:vAlign w:val="center"/>
          </w:tcPr>
          <w:p>
            <w:pPr>
              <w:rPr>
                <w:szCs w:val="21"/>
              </w:rPr>
            </w:pPr>
            <w:r>
              <w:rPr>
                <w:rFonts w:hint="eastAsia"/>
                <w:szCs w:val="21"/>
              </w:rPr>
              <w:t>投标书递交地点：电子开标，投标邮箱</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2"/>
                <w:rFonts w:hint="eastAsia"/>
                <w:color w:val="FF0000"/>
                <w:spacing w:val="8"/>
                <w:szCs w:val="21"/>
                <w:lang w:eastAsia="zh-CN"/>
              </w:rPr>
              <w:t>zb@jze.com.cn</w:t>
            </w:r>
            <w:r>
              <w:rPr>
                <w:rFonts w:hint="eastAsia"/>
                <w:color w:val="FF0000"/>
                <w:spacing w:val="8"/>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06" w:type="dxa"/>
            <w:vAlign w:val="center"/>
          </w:tcPr>
          <w:p>
            <w:pPr>
              <w:jc w:val="center"/>
              <w:rPr>
                <w:szCs w:val="21"/>
              </w:rPr>
            </w:pPr>
            <w:r>
              <w:rPr>
                <w:rFonts w:hint="eastAsia"/>
                <w:szCs w:val="21"/>
              </w:rPr>
              <w:t>9</w:t>
            </w:r>
          </w:p>
        </w:tc>
        <w:tc>
          <w:tcPr>
            <w:tcW w:w="7561" w:type="dxa"/>
            <w:vAlign w:val="center"/>
          </w:tcPr>
          <w:p>
            <w:pPr>
              <w:rPr>
                <w:szCs w:val="21"/>
              </w:rPr>
            </w:pPr>
            <w:r>
              <w:rPr>
                <w:rFonts w:hint="eastAsia"/>
                <w:szCs w:val="21"/>
              </w:rPr>
              <w:t>投标截止日期：</w:t>
            </w:r>
            <w:r>
              <w:rPr>
                <w:rFonts w:hint="eastAsia" w:cs="宋体"/>
                <w:color w:val="FF0000"/>
                <w:szCs w:val="21"/>
                <w:lang w:eastAsia="zh-CN"/>
              </w:rPr>
              <w:t>2022年0</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ascii="宋体" w:hAnsi="宋体" w:cs="宋体"/>
                <w:color w:val="FF0000"/>
                <w:kern w:val="0"/>
                <w:szCs w:val="21"/>
                <w:lang w:eastAsia="zh-CN"/>
              </w:rPr>
              <w:t>上午</w:t>
            </w:r>
            <w:r>
              <w:rPr>
                <w:rFonts w:hint="eastAsia" w:cs="宋体"/>
                <w:color w:val="FF0000"/>
                <w:szCs w:val="21"/>
              </w:rPr>
              <w:t>1</w:t>
            </w:r>
            <w:r>
              <w:rPr>
                <w:rFonts w:hint="eastAsia" w:cs="宋体"/>
                <w:color w:val="FF0000"/>
                <w:szCs w:val="21"/>
                <w:lang w:val="en-US" w:eastAsia="zh-CN"/>
              </w:rPr>
              <w:t>0</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006" w:type="dxa"/>
            <w:vAlign w:val="center"/>
          </w:tcPr>
          <w:p>
            <w:pPr>
              <w:jc w:val="center"/>
              <w:rPr>
                <w:szCs w:val="21"/>
              </w:rPr>
            </w:pPr>
            <w:r>
              <w:rPr>
                <w:rFonts w:hint="eastAsia"/>
                <w:szCs w:val="21"/>
              </w:rPr>
              <w:t>10</w:t>
            </w:r>
          </w:p>
        </w:tc>
        <w:tc>
          <w:tcPr>
            <w:tcW w:w="7561" w:type="dxa"/>
            <w:vAlign w:val="center"/>
          </w:tcPr>
          <w:p>
            <w:pPr>
              <w:tabs>
                <w:tab w:val="left" w:pos="482"/>
              </w:tabs>
              <w:rPr>
                <w:szCs w:val="21"/>
              </w:rPr>
            </w:pPr>
            <w:r>
              <w:rPr>
                <w:rFonts w:hint="eastAsia"/>
                <w:szCs w:val="21"/>
              </w:rPr>
              <w:t>开标时间：</w:t>
            </w:r>
            <w:r>
              <w:rPr>
                <w:rFonts w:hint="eastAsia" w:cs="宋体"/>
                <w:color w:val="FF0000"/>
                <w:szCs w:val="21"/>
                <w:lang w:eastAsia="zh-CN"/>
              </w:rPr>
              <w:t>2022年0</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ascii="宋体" w:hAnsi="宋体" w:cs="宋体"/>
                <w:color w:val="FF0000"/>
                <w:kern w:val="0"/>
                <w:szCs w:val="21"/>
                <w:lang w:eastAsia="zh-CN"/>
              </w:rPr>
              <w:t>上午</w:t>
            </w:r>
            <w:r>
              <w:rPr>
                <w:rFonts w:hint="eastAsia" w:cs="宋体"/>
                <w:color w:val="FF0000"/>
                <w:szCs w:val="21"/>
              </w:rPr>
              <w:t>1</w:t>
            </w:r>
            <w:r>
              <w:rPr>
                <w:rFonts w:hint="eastAsia" w:cs="宋体"/>
                <w:color w:val="FF0000"/>
                <w:szCs w:val="21"/>
                <w:lang w:val="en-US" w:eastAsia="zh-CN"/>
              </w:rPr>
              <w:t>0</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w:t>
            </w:r>
            <w:r>
              <w:t>电子开标，无需到现场，请将投标文件发至</w:t>
            </w:r>
            <w:r>
              <w:rPr>
                <w:rFonts w:hint="eastAsia"/>
                <w:color w:val="FF0000"/>
                <w:spacing w:val="8"/>
                <w:szCs w:val="21"/>
                <w:lang w:eastAsia="zh-CN"/>
              </w:rPr>
              <w:fldChar w:fldCharType="begin"/>
            </w:r>
            <w:r>
              <w:rPr>
                <w:rFonts w:hint="eastAsia"/>
                <w:color w:val="FF0000"/>
                <w:spacing w:val="8"/>
                <w:szCs w:val="21"/>
                <w:lang w:eastAsia="zh-CN"/>
              </w:rPr>
              <w:instrText xml:space="preserve"> HYPERLINK "mailto:zb2@jze.com.cn" </w:instrText>
            </w:r>
            <w:r>
              <w:rPr>
                <w:rFonts w:hint="eastAsia"/>
                <w:color w:val="FF0000"/>
                <w:spacing w:val="8"/>
                <w:szCs w:val="21"/>
                <w:lang w:eastAsia="zh-CN"/>
              </w:rPr>
              <w:fldChar w:fldCharType="separate"/>
            </w:r>
            <w:r>
              <w:rPr>
                <w:rStyle w:val="12"/>
                <w:rFonts w:hint="eastAsia"/>
                <w:color w:val="FF0000"/>
                <w:spacing w:val="8"/>
                <w:szCs w:val="21"/>
                <w:lang w:eastAsia="zh-CN"/>
              </w:rPr>
              <w:t>zb@jze.com.cn</w:t>
            </w:r>
            <w:r>
              <w:rPr>
                <w:rFonts w:hint="eastAsia"/>
                <w:color w:val="FF0000"/>
                <w:spacing w:val="8"/>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6" w:type="dxa"/>
            <w:vAlign w:val="center"/>
          </w:tcPr>
          <w:p>
            <w:pPr>
              <w:jc w:val="center"/>
              <w:rPr>
                <w:szCs w:val="21"/>
              </w:rPr>
            </w:pPr>
            <w:r>
              <w:rPr>
                <w:rFonts w:hint="eastAsia"/>
                <w:szCs w:val="21"/>
              </w:rPr>
              <w:t>11</w:t>
            </w:r>
          </w:p>
        </w:tc>
        <w:tc>
          <w:tcPr>
            <w:tcW w:w="7561"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6" w:type="dxa"/>
            <w:vAlign w:val="center"/>
          </w:tcPr>
          <w:p>
            <w:pPr>
              <w:jc w:val="center"/>
              <w:rPr>
                <w:szCs w:val="21"/>
              </w:rPr>
            </w:pPr>
            <w:r>
              <w:rPr>
                <w:rFonts w:hint="eastAsia"/>
                <w:szCs w:val="21"/>
              </w:rPr>
              <w:t>12</w:t>
            </w:r>
          </w:p>
        </w:tc>
        <w:tc>
          <w:tcPr>
            <w:tcW w:w="7561"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7C2FB7"/>
    <w:rsid w:val="02A57FB7"/>
    <w:rsid w:val="02B0450D"/>
    <w:rsid w:val="04A40A52"/>
    <w:rsid w:val="04C609C8"/>
    <w:rsid w:val="059338D4"/>
    <w:rsid w:val="062A6253"/>
    <w:rsid w:val="0CA57267"/>
    <w:rsid w:val="0E9253A8"/>
    <w:rsid w:val="104344BA"/>
    <w:rsid w:val="115B2DE0"/>
    <w:rsid w:val="1361058F"/>
    <w:rsid w:val="15072606"/>
    <w:rsid w:val="15175270"/>
    <w:rsid w:val="15A56B8C"/>
    <w:rsid w:val="1DB16262"/>
    <w:rsid w:val="1FF64400"/>
    <w:rsid w:val="20F85819"/>
    <w:rsid w:val="21DD6EFA"/>
    <w:rsid w:val="22956B16"/>
    <w:rsid w:val="28095BAC"/>
    <w:rsid w:val="2BDB6C76"/>
    <w:rsid w:val="2E5A3DAC"/>
    <w:rsid w:val="31905D36"/>
    <w:rsid w:val="32350942"/>
    <w:rsid w:val="362617F1"/>
    <w:rsid w:val="36414342"/>
    <w:rsid w:val="390C22BF"/>
    <w:rsid w:val="3A7E52C6"/>
    <w:rsid w:val="3D691F22"/>
    <w:rsid w:val="3E614CE2"/>
    <w:rsid w:val="3F3663EB"/>
    <w:rsid w:val="423C473E"/>
    <w:rsid w:val="45183725"/>
    <w:rsid w:val="49B362AF"/>
    <w:rsid w:val="4A4C1A86"/>
    <w:rsid w:val="5112495F"/>
    <w:rsid w:val="51F209E8"/>
    <w:rsid w:val="53D91EAA"/>
    <w:rsid w:val="54402F8B"/>
    <w:rsid w:val="559254D8"/>
    <w:rsid w:val="56A564DD"/>
    <w:rsid w:val="5ADD111C"/>
    <w:rsid w:val="5B72720F"/>
    <w:rsid w:val="5C7A0D57"/>
    <w:rsid w:val="5D1A06AE"/>
    <w:rsid w:val="5FBE6CD5"/>
    <w:rsid w:val="61413173"/>
    <w:rsid w:val="62C95A86"/>
    <w:rsid w:val="62EE299C"/>
    <w:rsid w:val="6431121C"/>
    <w:rsid w:val="64C11502"/>
    <w:rsid w:val="66D744CD"/>
    <w:rsid w:val="6CBF0CA2"/>
    <w:rsid w:val="6D4F7544"/>
    <w:rsid w:val="72656283"/>
    <w:rsid w:val="72E976BF"/>
    <w:rsid w:val="732E6B82"/>
    <w:rsid w:val="73D634A1"/>
    <w:rsid w:val="78F56274"/>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hAnsi="Times New Roman"/>
      <w:sz w:val="21"/>
      <w:szCs w:val="20"/>
    </w:rPr>
  </w:style>
  <w:style w:type="paragraph" w:styleId="3">
    <w:name w:val="Body Text"/>
    <w:basedOn w:val="1"/>
    <w:next w:val="1"/>
    <w:qFormat/>
    <w:uiPriority w:val="0"/>
    <w:rPr>
      <w:rFonts w:ascii="宋体" w:hAnsi="宋体"/>
      <w:sz w:val="24"/>
    </w:rPr>
  </w:style>
  <w:style w:type="paragraph" w:styleId="5">
    <w:name w:val="toc 3"/>
    <w:basedOn w:val="1"/>
    <w:next w:val="1"/>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basedOn w:val="11"/>
    <w:qFormat/>
    <w:uiPriority w:val="99"/>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4"/>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2563</Words>
  <Characters>2925</Characters>
  <Lines>22</Lines>
  <Paragraphs>6</Paragraphs>
  <TotalTime>0</TotalTime>
  <ScaleCrop>false</ScaleCrop>
  <LinksUpToDate>false</LinksUpToDate>
  <CharactersWithSpaces>2974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2022-07-07T08:18:26Z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27611FA10A9745859747494524CFD266</vt:lpwstr>
  </property>
</Properties>
</file>