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0"/>
          <w:tab w:val="left" w:pos="819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left" w:pos="8190"/>
          <w:tab w:val="decimal" w:pos="8460"/>
          <w:tab w:val="right" w:leader="dot" w:pos="10800"/>
        </w:tabs>
        <w:spacing w:line="360" w:lineRule="auto"/>
        <w:ind w:right="-60"/>
        <w:jc w:val="center"/>
        <w:rPr>
          <w:rFonts w:hint="eastAsia" w:ascii="黑体" w:eastAsia="黑体" w:cs="黑体"/>
          <w:b/>
          <w:bCs/>
          <w:sz w:val="44"/>
          <w:szCs w:val="44"/>
          <w:lang w:val="en-US" w:eastAsia="zh-CN"/>
        </w:rPr>
      </w:pPr>
    </w:p>
    <w:p>
      <w:pPr>
        <w:tabs>
          <w:tab w:val="left" w:pos="0"/>
          <w:tab w:val="left" w:pos="819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富裕县2*40MW农林生物质热电项目</w:t>
      </w:r>
    </w:p>
    <w:p>
      <w:pPr>
        <w:tabs>
          <w:tab w:val="left" w:pos="0"/>
          <w:tab w:val="left" w:pos="819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（一期二期）</w:t>
      </w:r>
    </w:p>
    <w:p>
      <w:pPr>
        <w:tabs>
          <w:tab w:val="left" w:pos="0"/>
          <w:tab w:val="left" w:pos="8190"/>
          <w:tab w:val="decimal" w:pos="8460"/>
          <w:tab w:val="right" w:leader="dot" w:pos="10800"/>
        </w:tabs>
        <w:spacing w:line="360" w:lineRule="auto"/>
        <w:ind w:right="-60"/>
        <w:jc w:val="both"/>
        <w:rPr>
          <w:rFonts w:hint="eastAsia" w:ascii="黑体" w:eastAsia="黑体" w:cs="黑体"/>
          <w:b/>
          <w:bCs/>
          <w:sz w:val="44"/>
          <w:szCs w:val="44"/>
          <w:lang w:val="en-US" w:eastAsia="zh-CN"/>
        </w:rPr>
      </w:pPr>
    </w:p>
    <w:p>
      <w:pPr>
        <w:tabs>
          <w:tab w:val="left" w:pos="0"/>
          <w:tab w:val="left" w:pos="819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沥青混凝土道路、普通混凝土道路、</w:t>
      </w:r>
    </w:p>
    <w:p>
      <w:pPr>
        <w:tabs>
          <w:tab w:val="left" w:pos="0"/>
          <w:tab w:val="left" w:pos="8190"/>
          <w:tab w:val="decimal" w:pos="8460"/>
          <w:tab w:val="right" w:leader="dot" w:pos="10800"/>
        </w:tabs>
        <w:spacing w:line="360" w:lineRule="auto"/>
        <w:ind w:right="-60"/>
        <w:jc w:val="center"/>
        <w:rPr>
          <w:rFonts w:hint="eastAsia" w:ascii="黑体" w:eastAsia="黑体" w:cs="黑体"/>
          <w:b/>
          <w:bCs/>
          <w:sz w:val="44"/>
          <w:szCs w:val="44"/>
          <w:lang w:val="en-US" w:eastAsia="zh-CN"/>
        </w:rPr>
      </w:pPr>
      <w:r>
        <w:rPr>
          <w:rFonts w:hint="eastAsia" w:ascii="黑体" w:eastAsia="黑体" w:cs="黑体"/>
          <w:b/>
          <w:bCs/>
          <w:sz w:val="44"/>
          <w:szCs w:val="44"/>
          <w:lang w:val="en-US" w:eastAsia="zh-CN"/>
        </w:rPr>
        <w:t>干料棚钢筋混凝土地面、无钢筋混凝土地面、</w:t>
      </w:r>
    </w:p>
    <w:p>
      <w:pPr>
        <w:tabs>
          <w:tab w:val="left" w:pos="0"/>
          <w:tab w:val="left" w:pos="8190"/>
          <w:tab w:val="decimal" w:pos="8460"/>
          <w:tab w:val="right" w:leader="dot" w:pos="10800"/>
        </w:tabs>
        <w:spacing w:line="360" w:lineRule="auto"/>
        <w:ind w:right="-60"/>
        <w:jc w:val="center"/>
        <w:rPr>
          <w:rFonts w:hint="default" w:ascii="黑体" w:eastAsia="黑体" w:cs="黑体"/>
          <w:b/>
          <w:bCs/>
          <w:sz w:val="44"/>
          <w:szCs w:val="44"/>
          <w:lang w:val="en-US" w:eastAsia="zh-CN"/>
        </w:rPr>
      </w:pPr>
      <w:r>
        <w:rPr>
          <w:rFonts w:hint="eastAsia" w:ascii="黑体" w:eastAsia="黑体" w:cs="黑体"/>
          <w:b/>
          <w:bCs/>
          <w:sz w:val="44"/>
          <w:szCs w:val="44"/>
          <w:lang w:val="en-US" w:eastAsia="zh-CN"/>
        </w:rPr>
        <w:t>人行步道砖路面工程</w:t>
      </w:r>
    </w:p>
    <w:p>
      <w:pPr>
        <w:tabs>
          <w:tab w:val="left" w:pos="0"/>
          <w:tab w:val="left" w:pos="8190"/>
          <w:tab w:val="decimal" w:pos="8460"/>
          <w:tab w:val="right" w:leader="dot" w:pos="10800"/>
        </w:tabs>
        <w:spacing w:line="360" w:lineRule="auto"/>
        <w:ind w:right="-60"/>
        <w:jc w:val="center"/>
        <w:rPr>
          <w:rFonts w:hint="default" w:ascii="黑体" w:eastAsia="黑体" w:cs="黑体"/>
          <w:b/>
          <w:bCs/>
          <w:sz w:val="44"/>
          <w:szCs w:val="44"/>
          <w:lang w:val="en-US" w:eastAsia="zh-CN"/>
        </w:rPr>
      </w:pPr>
    </w:p>
    <w:p>
      <w:pPr>
        <w:tabs>
          <w:tab w:val="left" w:pos="0"/>
          <w:tab w:val="left" w:pos="8190"/>
          <w:tab w:val="decimal" w:pos="8460"/>
          <w:tab w:val="right" w:leader="dot" w:pos="10800"/>
        </w:tabs>
        <w:spacing w:line="360" w:lineRule="auto"/>
        <w:ind w:right="-60"/>
        <w:jc w:val="center"/>
        <w:rPr>
          <w:rFonts w:ascii="黑体" w:hAnsi="宋体" w:eastAsia="黑体" w:cs="宋体"/>
          <w:bCs/>
          <w:sz w:val="36"/>
          <w:szCs w:val="36"/>
          <w:lang w:val="zh-CN"/>
        </w:rPr>
      </w:pPr>
      <w:r>
        <w:rPr>
          <w:rFonts w:hint="eastAsia" w:ascii="黑体" w:eastAsia="黑体" w:cs="黑体"/>
          <w:b/>
          <w:bCs/>
          <w:sz w:val="44"/>
          <w:szCs w:val="44"/>
          <w:lang w:val="zh-CN"/>
        </w:rPr>
        <w:t>商务招标公告</w:t>
      </w:r>
    </w:p>
    <w:p>
      <w:pPr>
        <w:tabs>
          <w:tab w:val="left" w:pos="0"/>
          <w:tab w:val="decimal" w:pos="6240"/>
          <w:tab w:val="left" w:pos="8190"/>
          <w:tab w:val="right" w:leader="dot" w:pos="10800"/>
        </w:tabs>
        <w:spacing w:line="360" w:lineRule="auto"/>
        <w:ind w:right="-60"/>
        <w:jc w:val="center"/>
        <w:rPr>
          <w:rFonts w:ascii="黑体" w:hAnsi="宋体" w:eastAsia="黑体" w:cs="宋体"/>
          <w:bCs/>
          <w:sz w:val="36"/>
          <w:szCs w:val="36"/>
          <w:lang w:val="zh-CN"/>
        </w:rPr>
      </w:pPr>
    </w:p>
    <w:p>
      <w:pPr>
        <w:tabs>
          <w:tab w:val="left" w:pos="0"/>
          <w:tab w:val="decimal" w:pos="6240"/>
          <w:tab w:val="left" w:pos="8190"/>
          <w:tab w:val="right" w:leader="dot" w:pos="10800"/>
        </w:tabs>
        <w:spacing w:line="360" w:lineRule="auto"/>
        <w:ind w:right="-60"/>
        <w:jc w:val="center"/>
        <w:rPr>
          <w:rFonts w:ascii="黑体" w:hAnsi="宋体" w:eastAsia="黑体" w:cs="宋体"/>
          <w:bCs/>
          <w:sz w:val="36"/>
          <w:szCs w:val="36"/>
          <w:lang w:val="zh-CN"/>
        </w:rPr>
      </w:pPr>
    </w:p>
    <w:p>
      <w:pPr>
        <w:tabs>
          <w:tab w:val="left" w:pos="8190"/>
        </w:tabs>
        <w:jc w:val="center"/>
        <w:rPr>
          <w:rFonts w:hint="default" w:ascii="宋体" w:hAnsi="宋体" w:eastAsia="微软雅黑" w:cs="Tahoma"/>
          <w:kern w:val="0"/>
          <w:highlight w:val="yellow"/>
          <w:lang w:val="en-US" w:eastAsia="zh-CN"/>
        </w:rPr>
      </w:pPr>
      <w:r>
        <w:rPr>
          <w:rFonts w:hint="eastAsia" w:ascii="黑体" w:hAnsi="宋体" w:eastAsia="黑体" w:cs="宋体"/>
          <w:bCs/>
          <w:sz w:val="36"/>
          <w:szCs w:val="36"/>
          <w:lang w:val="zh-CN"/>
        </w:rPr>
        <w:t>招标编号</w:t>
      </w:r>
      <w:r>
        <w:rPr>
          <w:rFonts w:hint="eastAsia" w:ascii="黑体" w:hAnsi="宋体" w:eastAsia="黑体" w:cs="宋体"/>
          <w:sz w:val="36"/>
          <w:szCs w:val="36"/>
          <w:lang w:val="zh-CN"/>
        </w:rPr>
        <w:t>：</w:t>
      </w:r>
      <w:r>
        <w:rPr>
          <w:rFonts w:ascii="微软雅黑" w:hAnsi="微软雅黑" w:eastAsia="微软雅黑" w:cs="微软雅黑"/>
          <w:i w:val="0"/>
          <w:iCs w:val="0"/>
          <w:caps w:val="0"/>
          <w:color w:val="171A1D"/>
          <w:spacing w:val="0"/>
          <w:sz w:val="36"/>
          <w:szCs w:val="36"/>
          <w:shd w:val="clear" w:color="auto" w:fill="FFFFFF"/>
        </w:rPr>
        <w:t>JZNY-FYSWZ80-202</w:t>
      </w:r>
      <w:r>
        <w:rPr>
          <w:rFonts w:hint="eastAsia" w:ascii="微软雅黑" w:hAnsi="微软雅黑" w:eastAsia="微软雅黑" w:cs="微软雅黑"/>
          <w:i w:val="0"/>
          <w:iCs w:val="0"/>
          <w:caps w:val="0"/>
          <w:color w:val="171A1D"/>
          <w:spacing w:val="0"/>
          <w:sz w:val="36"/>
          <w:szCs w:val="36"/>
          <w:shd w:val="clear" w:color="auto" w:fill="FFFFFF"/>
          <w:lang w:val="en-US" w:eastAsia="zh-CN"/>
        </w:rPr>
        <w:t>2</w:t>
      </w:r>
      <w:r>
        <w:rPr>
          <w:rFonts w:ascii="微软雅黑" w:hAnsi="微软雅黑" w:eastAsia="微软雅黑" w:cs="微软雅黑"/>
          <w:i w:val="0"/>
          <w:iCs w:val="0"/>
          <w:caps w:val="0"/>
          <w:color w:val="171A1D"/>
          <w:spacing w:val="0"/>
          <w:sz w:val="36"/>
          <w:szCs w:val="36"/>
          <w:shd w:val="clear" w:color="auto" w:fill="FFFFFF"/>
        </w:rPr>
        <w:t>-</w:t>
      </w:r>
      <w:r>
        <w:rPr>
          <w:rFonts w:hint="eastAsia" w:ascii="微软雅黑" w:hAnsi="微软雅黑" w:eastAsia="微软雅黑" w:cs="微软雅黑"/>
          <w:i w:val="0"/>
          <w:iCs w:val="0"/>
          <w:caps w:val="0"/>
          <w:color w:val="171A1D"/>
          <w:spacing w:val="0"/>
          <w:sz w:val="36"/>
          <w:szCs w:val="36"/>
          <w:shd w:val="clear" w:color="auto" w:fill="FFFFFF"/>
          <w:lang w:val="en-US" w:eastAsia="zh-CN"/>
        </w:rPr>
        <w:t>290</w:t>
      </w:r>
    </w:p>
    <w:p>
      <w:pPr>
        <w:tabs>
          <w:tab w:val="decimal" w:pos="6240"/>
          <w:tab w:val="left" w:pos="8190"/>
          <w:tab w:val="right" w:leader="dot" w:pos="10800"/>
        </w:tabs>
        <w:spacing w:line="240" w:lineRule="atLeast"/>
        <w:ind w:right="-62"/>
        <w:jc w:val="both"/>
        <w:rPr>
          <w:rFonts w:ascii="黑体" w:hAnsi="宋体" w:eastAsia="黑体" w:cs="黑体"/>
          <w:sz w:val="32"/>
          <w:szCs w:val="32"/>
          <w:lang w:val="zh-CN"/>
        </w:rPr>
      </w:pPr>
    </w:p>
    <w:p>
      <w:pPr>
        <w:tabs>
          <w:tab w:val="decimal" w:pos="6240"/>
          <w:tab w:val="left" w:pos="819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left" w:pos="8190"/>
          <w:tab w:val="right" w:leader="dot" w:pos="10800"/>
        </w:tabs>
        <w:spacing w:line="240" w:lineRule="atLeast"/>
        <w:ind w:left="-181" w:leftChars="-86" w:right="-62"/>
        <w:jc w:val="center"/>
        <w:rPr>
          <w:rFonts w:ascii="黑体" w:hAnsi="宋体" w:eastAsia="黑体" w:cs="黑体"/>
          <w:sz w:val="32"/>
          <w:szCs w:val="32"/>
          <w:lang w:val="zh-CN"/>
        </w:rPr>
      </w:pPr>
    </w:p>
    <w:p>
      <w:pPr>
        <w:tabs>
          <w:tab w:val="decimal" w:pos="6240"/>
          <w:tab w:val="left" w:pos="819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en-US" w:eastAsia="zh-CN"/>
        </w:rPr>
        <w:t xml:space="preserve">   </w:t>
      </w:r>
      <w:r>
        <w:rPr>
          <w:rFonts w:hint="eastAsia" w:ascii="黑体" w:hAnsi="宋体" w:eastAsia="黑体" w:cs="黑体"/>
          <w:sz w:val="28"/>
          <w:szCs w:val="28"/>
          <w:lang w:val="zh-CN"/>
        </w:rPr>
        <w:t>招标人：沈阳昊诚电气有限公司  （盖章）</w:t>
      </w:r>
    </w:p>
    <w:p>
      <w:pPr>
        <w:tabs>
          <w:tab w:val="decimal" w:pos="6240"/>
          <w:tab w:val="left" w:pos="8190"/>
          <w:tab w:val="right" w:leader="dot" w:pos="10800"/>
        </w:tabs>
        <w:spacing w:line="480" w:lineRule="auto"/>
        <w:ind w:left="-181" w:leftChars="-86" w:right="-62"/>
        <w:jc w:val="center"/>
        <w:rPr>
          <w:rFonts w:ascii="黑体" w:hAnsi="宋体" w:eastAsia="黑体" w:cs="黑体"/>
          <w:sz w:val="28"/>
          <w:szCs w:val="28"/>
          <w:lang w:val="zh-CN"/>
        </w:rPr>
      </w:pPr>
      <w:r>
        <w:rPr>
          <w:rFonts w:hint="eastAsia" w:ascii="黑体" w:hAnsi="宋体" w:eastAsia="黑体" w:cs="黑体"/>
          <w:sz w:val="28"/>
          <w:szCs w:val="28"/>
          <w:lang w:val="zh-CN"/>
        </w:rPr>
        <w:t>中国</w:t>
      </w:r>
      <w:r>
        <w:rPr>
          <w:rFonts w:hint="eastAsia" w:ascii="黑体" w:hAnsi="黑体" w:eastAsia="黑体" w:cs="黑体"/>
          <w:sz w:val="28"/>
          <w:szCs w:val="28"/>
          <w:lang w:val="zh-CN"/>
        </w:rPr>
        <w:t>·</w:t>
      </w:r>
      <w:r>
        <w:rPr>
          <w:rFonts w:hint="eastAsia" w:ascii="黑体" w:hAnsi="宋体" w:eastAsia="黑体" w:cs="黑体"/>
          <w:sz w:val="28"/>
          <w:szCs w:val="28"/>
          <w:lang w:val="zh-CN"/>
        </w:rPr>
        <w:t>哈尔滨市南岗区</w:t>
      </w:r>
    </w:p>
    <w:p>
      <w:pPr>
        <w:tabs>
          <w:tab w:val="decimal" w:pos="6240"/>
          <w:tab w:val="left" w:pos="8190"/>
          <w:tab w:val="right" w:leader="dot" w:pos="10800"/>
        </w:tabs>
        <w:spacing w:line="240" w:lineRule="atLeast"/>
        <w:ind w:left="-181" w:leftChars="-86" w:right="-62"/>
        <w:jc w:val="left"/>
        <w:rPr>
          <w:rFonts w:ascii="黑体" w:hAnsi="宋体" w:eastAsia="黑体" w:cs="黑体"/>
          <w:sz w:val="28"/>
          <w:szCs w:val="28"/>
          <w:lang w:val="zh-CN"/>
        </w:rPr>
      </w:pPr>
    </w:p>
    <w:p>
      <w:pPr>
        <w:tabs>
          <w:tab w:val="left" w:pos="8190"/>
        </w:tabs>
        <w:autoSpaceDE w:val="0"/>
        <w:autoSpaceDN w:val="0"/>
        <w:adjustRightInd w:val="0"/>
        <w:jc w:val="center"/>
        <w:rPr>
          <w:rFonts w:hint="eastAsia" w:ascii="宋体" w:hAnsi="宋体" w:cs="宋体"/>
          <w:b/>
          <w:bCs/>
          <w:sz w:val="32"/>
          <w:szCs w:val="32"/>
          <w:lang w:val="zh-CN"/>
        </w:rPr>
      </w:pPr>
      <w:r>
        <w:rPr>
          <w:rFonts w:hint="eastAsia" w:ascii="黑体" w:hAnsi="宋体" w:eastAsia="黑体" w:cs="宋体"/>
          <w:bCs/>
          <w:sz w:val="32"/>
          <w:szCs w:val="32"/>
          <w:lang w:val="zh-CN"/>
        </w:rPr>
        <w:t>二〇</w:t>
      </w:r>
      <w:r>
        <w:rPr>
          <w:rFonts w:hint="eastAsia" w:ascii="黑体" w:hAnsi="宋体" w:eastAsia="黑体" w:cs="宋体"/>
          <w:bCs/>
          <w:sz w:val="32"/>
          <w:szCs w:val="32"/>
          <w:lang w:val="en-US" w:eastAsia="zh-CN"/>
        </w:rPr>
        <w:t>二二</w:t>
      </w:r>
      <w:r>
        <w:rPr>
          <w:rFonts w:hint="eastAsia" w:ascii="黑体" w:hAnsi="宋体" w:eastAsia="黑体" w:cs="宋体"/>
          <w:bCs/>
          <w:sz w:val="32"/>
          <w:szCs w:val="32"/>
          <w:lang w:val="zh-CN"/>
        </w:rPr>
        <w:t>年</w:t>
      </w:r>
      <w:r>
        <w:rPr>
          <w:rFonts w:hint="eastAsia" w:ascii="黑体" w:hAnsi="宋体" w:eastAsia="黑体" w:cs="宋体"/>
          <w:bCs/>
          <w:sz w:val="32"/>
          <w:szCs w:val="32"/>
          <w:lang w:val="en-US" w:eastAsia="zh-CN"/>
        </w:rPr>
        <w:t>五</w:t>
      </w:r>
      <w:r>
        <w:rPr>
          <w:rFonts w:hint="eastAsia" w:ascii="黑体" w:hAnsi="宋体" w:eastAsia="黑体" w:cs="宋体"/>
          <w:bCs/>
          <w:sz w:val="32"/>
          <w:szCs w:val="32"/>
          <w:lang w:val="zh-CN"/>
        </w:rPr>
        <w:t>月</w:t>
      </w:r>
    </w:p>
    <w:p>
      <w:pPr>
        <w:tabs>
          <w:tab w:val="left" w:pos="8190"/>
        </w:tabs>
        <w:autoSpaceDE w:val="0"/>
        <w:autoSpaceDN w:val="0"/>
        <w:adjustRightInd w:val="0"/>
        <w:jc w:val="center"/>
        <w:rPr>
          <w:rFonts w:hint="eastAsia" w:ascii="宋体" w:hAnsi="宋体" w:cs="宋体"/>
          <w:b/>
          <w:bCs/>
          <w:sz w:val="32"/>
          <w:szCs w:val="32"/>
          <w:lang w:val="zh-CN"/>
        </w:rPr>
      </w:pPr>
    </w:p>
    <w:p>
      <w:pPr>
        <w:tabs>
          <w:tab w:val="left" w:pos="8190"/>
        </w:tabs>
        <w:autoSpaceDE w:val="0"/>
        <w:autoSpaceDN w:val="0"/>
        <w:adjustRightInd w:val="0"/>
        <w:jc w:val="both"/>
        <w:rPr>
          <w:rFonts w:hint="eastAsia" w:ascii="宋体" w:hAnsi="宋体" w:cs="宋体"/>
          <w:b/>
          <w:bCs/>
          <w:sz w:val="32"/>
          <w:szCs w:val="32"/>
          <w:lang w:val="zh-CN"/>
        </w:rPr>
      </w:pPr>
    </w:p>
    <w:p>
      <w:pPr>
        <w:pStyle w:val="2"/>
        <w:rPr>
          <w:rFonts w:hint="eastAsia"/>
        </w:rPr>
      </w:pPr>
      <w:bookmarkStart w:id="0" w:name="_Toc12942"/>
      <w:bookmarkStart w:id="7" w:name="_GoBack"/>
      <w:bookmarkEnd w:id="7"/>
    </w:p>
    <w:p>
      <w:pPr>
        <w:pStyle w:val="3"/>
        <w:spacing w:line="360" w:lineRule="exact"/>
        <w:ind w:firstLine="2530" w:firstLineChars="700"/>
        <w:jc w:val="both"/>
        <w:rPr>
          <w:rFonts w:hint="eastAsia" w:ascii="宋体" w:hAnsi="宋体" w:cs="宋体"/>
          <w:szCs w:val="44"/>
        </w:rPr>
      </w:pPr>
      <w:r>
        <w:rPr>
          <w:rFonts w:hint="eastAsia" w:ascii="宋体" w:hAnsi="宋体" w:cs="宋体"/>
          <w:szCs w:val="44"/>
        </w:rPr>
        <w:t>第一章 投标人须知</w:t>
      </w:r>
      <w:bookmarkEnd w:id="0"/>
    </w:p>
    <w:p>
      <w:pPr>
        <w:autoSpaceDE w:val="0"/>
        <w:autoSpaceDN w:val="0"/>
        <w:adjustRightInd w:val="0"/>
        <w:spacing w:line="360" w:lineRule="exact"/>
        <w:jc w:val="center"/>
        <w:rPr>
          <w:rFonts w:hint="eastAsia" w:ascii="宋体" w:hAnsi="宋体" w:cs="宋体"/>
          <w:b/>
          <w:bCs/>
          <w:sz w:val="24"/>
          <w:szCs w:val="24"/>
          <w:lang w:val="zh-CN"/>
        </w:rPr>
      </w:pPr>
      <w:r>
        <w:rPr>
          <w:rFonts w:hint="eastAsia" w:ascii="宋体" w:hAnsi="宋体" w:cs="宋体"/>
          <w:b/>
          <w:bCs/>
          <w:sz w:val="24"/>
          <w:szCs w:val="24"/>
          <w:lang w:val="zh-CN"/>
        </w:rPr>
        <w:t>前 附 表</w:t>
      </w:r>
    </w:p>
    <w:tbl>
      <w:tblPr>
        <w:tblStyle w:val="8"/>
        <w:tblW w:w="10246" w:type="dxa"/>
        <w:jc w:val="center"/>
        <w:tblLayout w:type="fixed"/>
        <w:tblCellMar>
          <w:top w:w="0" w:type="dxa"/>
          <w:left w:w="108" w:type="dxa"/>
          <w:bottom w:w="0" w:type="dxa"/>
          <w:right w:w="108" w:type="dxa"/>
        </w:tblCellMar>
      </w:tblPr>
      <w:tblGrid>
        <w:gridCol w:w="803"/>
        <w:gridCol w:w="1993"/>
        <w:gridCol w:w="3966"/>
        <w:gridCol w:w="3484"/>
      </w:tblGrid>
      <w:tr>
        <w:tblPrEx>
          <w:tblCellMar>
            <w:top w:w="0" w:type="dxa"/>
            <w:left w:w="108" w:type="dxa"/>
            <w:bottom w:w="0" w:type="dxa"/>
            <w:right w:w="108" w:type="dxa"/>
          </w:tblCellMar>
        </w:tblPrEx>
        <w:trPr>
          <w:trHeight w:val="5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序号</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项目</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b/>
                <w:bCs/>
                <w:lang w:val="zh-CN"/>
              </w:rPr>
            </w:pPr>
            <w:r>
              <w:rPr>
                <w:rFonts w:hint="eastAsia" w:ascii="宋体" w:hAnsi="宋体" w:cs="宋体"/>
                <w:b/>
                <w:bCs/>
                <w:lang w:val="zh-CN"/>
              </w:rPr>
              <w:t>内容</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工程名称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tabs>
                <w:tab w:val="left" w:pos="0"/>
                <w:tab w:val="decimal" w:pos="8460"/>
                <w:tab w:val="right" w:leader="dot" w:pos="10800"/>
              </w:tabs>
              <w:spacing w:line="360" w:lineRule="auto"/>
              <w:ind w:right="-60"/>
              <w:jc w:val="both"/>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富裕县2*40MW农林生物质热电项目（一期二期）</w:t>
            </w:r>
          </w:p>
          <w:p>
            <w:pPr>
              <w:tabs>
                <w:tab w:val="left" w:pos="0"/>
                <w:tab w:val="decimal" w:pos="8460"/>
                <w:tab w:val="right" w:leader="dot" w:pos="10800"/>
              </w:tabs>
              <w:spacing w:line="360" w:lineRule="auto"/>
              <w:ind w:right="-60"/>
              <w:jc w:val="both"/>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沥青混凝土道路、普通混凝土道路、干料棚钢筋混凝土地面、无钢筋混凝土地面、</w:t>
            </w:r>
          </w:p>
          <w:p>
            <w:pPr>
              <w:tabs>
                <w:tab w:val="left" w:pos="0"/>
                <w:tab w:val="decimal" w:pos="8460"/>
                <w:tab w:val="right" w:leader="dot" w:pos="10800"/>
              </w:tabs>
              <w:spacing w:line="360" w:lineRule="auto"/>
              <w:ind w:right="-60"/>
              <w:jc w:val="both"/>
              <w:rPr>
                <w:rFonts w:hint="default" w:ascii="宋体" w:hAnsi="宋体" w:eastAsia="宋体" w:cs="宋体"/>
                <w:lang w:val="en-US" w:eastAsia="zh-CN"/>
              </w:rPr>
            </w:pPr>
            <w:r>
              <w:rPr>
                <w:rFonts w:hint="eastAsia" w:ascii="宋体" w:hAnsi="宋体" w:eastAsia="宋体" w:cs="宋体"/>
                <w:b w:val="0"/>
                <w:bCs w:val="0"/>
                <w:sz w:val="21"/>
                <w:szCs w:val="21"/>
                <w:highlight w:val="yellow"/>
                <w:lang w:val="en-US" w:eastAsia="zh-CN"/>
              </w:rPr>
              <w:t>人行步道砖路面工程</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工程地点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eastAsia" w:ascii="宋体" w:hAnsi="宋体" w:cs="宋体"/>
              </w:rPr>
            </w:pPr>
            <w:r>
              <w:rPr>
                <w:rFonts w:hint="eastAsia"/>
                <w:color w:val="000000"/>
                <w:szCs w:val="21"/>
                <w:lang w:val="en-US" w:eastAsia="zh-CN"/>
              </w:rPr>
              <w:t>富裕县工业园区内</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工程规模</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ascii="宋体" w:hAnsi="宋体" w:cs="宋体"/>
                <w:lang w:val="en-US" w:eastAsia="zh-CN"/>
              </w:rPr>
              <w:t>2*40MW生物质热电项目</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工期要求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rPr>
                <w:rFonts w:hint="default" w:ascii="宋体" w:hAnsi="宋体" w:eastAsia="宋体" w:cs="宋体"/>
                <w:lang w:val="en-US" w:eastAsia="zh-CN"/>
              </w:rPr>
            </w:pPr>
            <w:r>
              <w:rPr>
                <w:rFonts w:hint="eastAsia"/>
                <w:color w:val="000000"/>
                <w:szCs w:val="21"/>
                <w:highlight w:val="yellow"/>
                <w:lang w:val="en-US" w:eastAsia="zh-CN"/>
              </w:rPr>
              <w:t>2022年6月10日开工-2022年9月30日完工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招标范围</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rPr>
              <w:t>见投标人须知第3条</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招标方式</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资金来源</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szCs w:val="21"/>
              </w:rPr>
              <w:t>企业自筹资金</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8</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投标单位资质要求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详见招标公告</w:t>
            </w:r>
          </w:p>
        </w:tc>
      </w:tr>
      <w:tr>
        <w:tblPrEx>
          <w:tblCellMar>
            <w:top w:w="0" w:type="dxa"/>
            <w:left w:w="108" w:type="dxa"/>
            <w:bottom w:w="0" w:type="dxa"/>
            <w:right w:w="108" w:type="dxa"/>
          </w:tblCellMar>
        </w:tblPrEx>
        <w:trPr>
          <w:trHeight w:val="37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9</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投标保证金</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eastAsia="宋体" w:cs="宋体"/>
                <w:lang w:val="en-US" w:eastAsia="zh-CN"/>
              </w:rPr>
            </w:pPr>
            <w:r>
              <w:rPr>
                <w:rFonts w:hint="eastAsia" w:ascii="宋体" w:hAnsi="宋体" w:eastAsia="宋体" w:cs="宋体"/>
                <w:lang w:val="en-US" w:eastAsia="zh-CN"/>
              </w:rPr>
              <w:t>贰万元</w:t>
            </w:r>
          </w:p>
        </w:tc>
      </w:tr>
      <w:tr>
        <w:tblPrEx>
          <w:tblCellMar>
            <w:top w:w="0" w:type="dxa"/>
            <w:left w:w="108" w:type="dxa"/>
            <w:bottom w:w="0" w:type="dxa"/>
            <w:right w:w="108" w:type="dxa"/>
          </w:tblCellMar>
        </w:tblPrEx>
        <w:trPr>
          <w:trHeight w:val="50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10</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标前会及现场踏勘</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不组织标签会，投标商自行安排现场踏勘。</w:t>
            </w:r>
          </w:p>
        </w:tc>
      </w:tr>
      <w:tr>
        <w:tblPrEx>
          <w:tblCellMar>
            <w:top w:w="0" w:type="dxa"/>
            <w:left w:w="108" w:type="dxa"/>
            <w:bottom w:w="0" w:type="dxa"/>
            <w:right w:w="108" w:type="dxa"/>
          </w:tblCellMar>
        </w:tblPrEx>
        <w:trPr>
          <w:trHeight w:val="44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11</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投标文件份数</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投电子版标书独立文档</w:t>
            </w:r>
            <w:r>
              <w:rPr>
                <w:rFonts w:hint="eastAsia" w:ascii="宋体" w:hAnsi="宋体" w:cs="宋体"/>
                <w:lang w:val="en-US" w:eastAsia="zh-CN"/>
              </w:rPr>
              <w:t>2</w:t>
            </w:r>
            <w:r>
              <w:rPr>
                <w:rFonts w:hint="eastAsia" w:ascii="宋体" w:hAnsi="宋体" w:cs="宋体"/>
                <w:lang w:val="zh-CN"/>
              </w:rPr>
              <w:t>份</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1.商务技术一份</w:t>
            </w:r>
            <w:r>
              <w:rPr>
                <w:rFonts w:hint="eastAsia" w:ascii="宋体" w:hAnsi="宋体" w:cs="宋体"/>
                <w:lang w:val="zh-CN" w:eastAsia="zh-CN"/>
              </w:rPr>
              <w:t>（不体现报价）</w:t>
            </w:r>
            <w:r>
              <w:rPr>
                <w:rFonts w:hint="eastAsia" w:ascii="宋体" w:hAnsi="宋体" w:cs="宋体"/>
                <w:lang w:val="zh-CN"/>
              </w:rPr>
              <w:t>，</w:t>
            </w:r>
          </w:p>
          <w:p>
            <w:pPr>
              <w:autoSpaceDE w:val="0"/>
              <w:autoSpaceDN w:val="0"/>
              <w:adjustRightInd w:val="0"/>
              <w:spacing w:line="360" w:lineRule="exact"/>
              <w:rPr>
                <w:rFonts w:hint="eastAsia" w:ascii="宋体" w:hAnsi="宋体" w:cs="宋体"/>
                <w:lang w:val="zh-CN"/>
              </w:rPr>
            </w:pPr>
            <w:r>
              <w:rPr>
                <w:rFonts w:hint="eastAsia" w:ascii="宋体" w:hAnsi="宋体" w:cs="宋体"/>
                <w:lang w:val="en-US" w:eastAsia="zh-CN"/>
              </w:rPr>
              <w:t>2</w:t>
            </w:r>
            <w:r>
              <w:rPr>
                <w:rFonts w:hint="eastAsia" w:ascii="宋体" w:hAnsi="宋体" w:cs="宋体"/>
                <w:lang w:val="zh-CN"/>
              </w:rPr>
              <w:t>.报价单</w:t>
            </w:r>
            <w:r>
              <w:rPr>
                <w:rFonts w:hint="eastAsia" w:ascii="宋体" w:hAnsi="宋体" w:cs="宋体"/>
                <w:lang w:val="zh-CN" w:eastAsia="zh-CN"/>
              </w:rPr>
              <w:t>一份（</w:t>
            </w:r>
            <w:r>
              <w:rPr>
                <w:rFonts w:hint="eastAsia" w:ascii="宋体" w:hAnsi="宋体" w:cs="宋体"/>
                <w:lang w:val="zh-CN"/>
              </w:rPr>
              <w:t>PDF和Excel各一份</w:t>
            </w:r>
            <w:r>
              <w:rPr>
                <w:rFonts w:hint="eastAsia" w:ascii="宋体" w:hAnsi="宋体" w:cs="宋体"/>
                <w:lang w:val="zh-CN" w:eastAsia="zh-CN"/>
              </w:rPr>
              <w:t>）</w:t>
            </w:r>
          </w:p>
        </w:tc>
      </w:tr>
      <w:tr>
        <w:tblPrEx>
          <w:tblCellMar>
            <w:top w:w="0" w:type="dxa"/>
            <w:left w:w="108" w:type="dxa"/>
            <w:bottom w:w="0" w:type="dxa"/>
            <w:right w:w="108" w:type="dxa"/>
          </w:tblCellMar>
        </w:tblPrEx>
        <w:trPr>
          <w:trHeight w:val="476"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12</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投标截止时间</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待定（另行通知）</w:t>
            </w:r>
          </w:p>
        </w:tc>
      </w:tr>
      <w:tr>
        <w:tblPrEx>
          <w:tblCellMar>
            <w:top w:w="0" w:type="dxa"/>
            <w:left w:w="108" w:type="dxa"/>
            <w:bottom w:w="0" w:type="dxa"/>
            <w:right w:w="108" w:type="dxa"/>
          </w:tblCellMar>
        </w:tblPrEx>
        <w:trPr>
          <w:trHeight w:val="454"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13</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投标文件送达地点</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ascii="宋体" w:hAnsi="宋体" w:eastAsia="宋体" w:cs="宋体"/>
                <w:lang w:val="en-US" w:eastAsia="zh-CN"/>
              </w:rPr>
            </w:pPr>
            <w:r>
              <w:rPr>
                <w:rFonts w:hint="eastAsia" w:ascii="Times New Roman" w:hAnsi="Times New Roman" w:eastAsia="宋体" w:cs="Times New Roman"/>
                <w:szCs w:val="21"/>
              </w:rPr>
              <w:t>电子开标，无需到现场，请将投标文件发至</w:t>
            </w:r>
            <w:r>
              <w:rPr>
                <w:rFonts w:hint="eastAsia" w:ascii="Times New Roman" w:hAnsi="Times New Roman" w:eastAsia="宋体" w:cs="Times New Roman"/>
                <w:szCs w:val="21"/>
                <w:lang w:val="en-US" w:eastAsia="zh-CN"/>
              </w:rPr>
              <w:t>邮箱：</w:t>
            </w:r>
            <w:r>
              <w:rPr>
                <w:rFonts w:hint="eastAsia" w:ascii="Times New Roman" w:hAnsi="Times New Roman" w:eastAsia="宋体" w:cs="Times New Roman"/>
                <w:szCs w:val="21"/>
                <w:highlight w:val="yellow"/>
                <w:lang w:val="en-US" w:eastAsia="zh-CN"/>
              </w:rPr>
              <w:t>zb</w:t>
            </w:r>
            <w:r>
              <w:rPr>
                <w:rFonts w:hint="eastAsia" w:ascii="Times New Roman" w:hAnsi="Times New Roman" w:eastAsia="宋体" w:cs="Times New Roman"/>
                <w:highlight w:val="yellow"/>
              </w:rPr>
              <w:t>@</w:t>
            </w:r>
            <w:r>
              <w:rPr>
                <w:rFonts w:hint="eastAsia" w:ascii="Times New Roman" w:hAnsi="Times New Roman" w:eastAsia="宋体" w:cs="Times New Roman"/>
                <w:highlight w:val="yellow"/>
                <w:lang w:val="en-US" w:eastAsia="zh-CN"/>
              </w:rPr>
              <w:t>jze.</w:t>
            </w:r>
            <w:r>
              <w:rPr>
                <w:rFonts w:hint="eastAsia" w:ascii="Times New Roman" w:hAnsi="Times New Roman" w:eastAsia="宋体" w:cs="Times New Roman"/>
                <w:highlight w:val="yellow"/>
              </w:rPr>
              <w:t>com</w:t>
            </w:r>
            <w:r>
              <w:rPr>
                <w:rFonts w:hint="eastAsia" w:ascii="Times New Roman" w:hAnsi="Times New Roman" w:eastAsia="宋体" w:cs="Times New Roman"/>
                <w:highlight w:val="yellow"/>
                <w:lang w:val="en-US" w:eastAsia="zh-CN"/>
              </w:rPr>
              <w:t>.cn</w:t>
            </w:r>
          </w:p>
        </w:tc>
      </w:tr>
      <w:tr>
        <w:tblPrEx>
          <w:tblCellMar>
            <w:top w:w="0" w:type="dxa"/>
            <w:left w:w="108" w:type="dxa"/>
            <w:bottom w:w="0" w:type="dxa"/>
            <w:right w:w="108" w:type="dxa"/>
          </w:tblCellMar>
        </w:tblPrEx>
        <w:trPr>
          <w:trHeight w:val="40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14</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rPr>
            </w:pPr>
            <w:r>
              <w:rPr>
                <w:rFonts w:hint="eastAsia" w:ascii="宋体" w:hAnsi="宋体" w:cs="宋体"/>
                <w:lang w:val="zh-CN"/>
              </w:rPr>
              <w:t>开标</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highlight w:val="yellow"/>
                <w:lang w:val="zh-CN"/>
              </w:rPr>
              <w:t>待定（另行通知）</w:t>
            </w:r>
            <w:r>
              <w:rPr>
                <w:rFonts w:hint="eastAsia" w:ascii="宋体" w:hAnsi="宋体" w:cs="宋体"/>
                <w:lang w:val="en-US" w:eastAsia="zh-CN"/>
              </w:rPr>
              <w:t>邮箱地址</w:t>
            </w:r>
            <w:r>
              <w:rPr>
                <w:rFonts w:hint="eastAsia" w:ascii="宋体" w:hAnsi="宋体" w:cs="宋体"/>
                <w:lang w:val="zh-CN"/>
              </w:rPr>
              <w:t>：</w:t>
            </w:r>
            <w:r>
              <w:rPr>
                <w:rFonts w:hint="eastAsia" w:ascii="Times New Roman" w:hAnsi="Times New Roman" w:eastAsia="宋体" w:cs="Times New Roman"/>
                <w:szCs w:val="21"/>
                <w:lang w:val="en-US" w:eastAsia="zh-CN"/>
              </w:rPr>
              <w:t>zb</w:t>
            </w:r>
            <w:r>
              <w:rPr>
                <w:rFonts w:hint="eastAsia" w:ascii="Times New Roman" w:hAnsi="Times New Roman" w:eastAsia="宋体" w:cs="Times New Roman"/>
              </w:rPr>
              <w:t>@</w:t>
            </w:r>
            <w:r>
              <w:rPr>
                <w:rFonts w:hint="eastAsia" w:ascii="Times New Roman" w:hAnsi="Times New Roman" w:eastAsia="宋体" w:cs="Times New Roman"/>
                <w:lang w:val="en-US" w:eastAsia="zh-CN"/>
              </w:rPr>
              <w:t>jze.</w:t>
            </w:r>
            <w:r>
              <w:rPr>
                <w:rFonts w:hint="eastAsia" w:ascii="Times New Roman" w:hAnsi="Times New Roman" w:eastAsia="宋体" w:cs="Times New Roman"/>
              </w:rPr>
              <w:t>com</w:t>
            </w:r>
            <w:r>
              <w:rPr>
                <w:rFonts w:hint="eastAsia" w:ascii="Times New Roman" w:hAnsi="Times New Roman" w:eastAsia="宋体" w:cs="Times New Roman"/>
                <w:lang w:val="en-US" w:eastAsia="zh-CN"/>
              </w:rPr>
              <w:t>.cn</w:t>
            </w:r>
          </w:p>
        </w:tc>
      </w:tr>
      <w:tr>
        <w:tblPrEx>
          <w:tblCellMar>
            <w:top w:w="0" w:type="dxa"/>
            <w:left w:w="108" w:type="dxa"/>
            <w:bottom w:w="0" w:type="dxa"/>
            <w:right w:w="108" w:type="dxa"/>
          </w:tblCellMar>
        </w:tblPrEx>
        <w:trPr>
          <w:trHeight w:val="498"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rPr>
            </w:pPr>
            <w:r>
              <w:rPr>
                <w:rFonts w:hint="eastAsia" w:ascii="宋体" w:hAnsi="宋体" w:cs="宋体"/>
              </w:rPr>
              <w:t>15</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投标有效期</w:t>
            </w:r>
            <w:r>
              <w:rPr>
                <w:rFonts w:hint="eastAsia" w:ascii="宋体" w:hAnsi="宋体" w:cs="宋体"/>
                <w:vertAlign w:val="superscript"/>
                <w:lang w:val="zh-CN"/>
              </w:rPr>
              <w:t>.</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从投标截止日起</w:t>
            </w:r>
            <w:r>
              <w:rPr>
                <w:rFonts w:hint="eastAsia" w:ascii="宋体" w:hAnsi="宋体" w:cs="宋体"/>
                <w:u w:val="single"/>
                <w:lang w:val="zh-CN"/>
              </w:rPr>
              <w:t xml:space="preserve"> </w:t>
            </w:r>
            <w:r>
              <w:rPr>
                <w:rFonts w:hint="eastAsia" w:ascii="宋体" w:hAnsi="宋体" w:cs="宋体"/>
                <w:u w:val="single"/>
                <w:lang w:val="en-US" w:eastAsia="zh-CN"/>
              </w:rPr>
              <w:t>90</w:t>
            </w:r>
            <w:r>
              <w:rPr>
                <w:rFonts w:hint="eastAsia" w:ascii="宋体" w:hAnsi="宋体" w:cs="宋体"/>
                <w:u w:val="single"/>
                <w:lang w:val="zh-CN"/>
              </w:rPr>
              <w:t xml:space="preserve"> </w:t>
            </w:r>
            <w:r>
              <w:rPr>
                <w:rFonts w:hint="eastAsia" w:ascii="宋体" w:hAnsi="宋体" w:cs="宋体"/>
                <w:lang w:val="zh-CN"/>
              </w:rPr>
              <w:t>天</w:t>
            </w:r>
          </w:p>
        </w:tc>
      </w:tr>
      <w:tr>
        <w:tblPrEx>
          <w:tblCellMar>
            <w:top w:w="0" w:type="dxa"/>
            <w:left w:w="108" w:type="dxa"/>
            <w:bottom w:w="0" w:type="dxa"/>
            <w:right w:w="108" w:type="dxa"/>
          </w:tblCellMar>
        </w:tblPrEx>
        <w:trPr>
          <w:cantSplit/>
          <w:trHeight w:val="765"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16</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联系人</w:t>
            </w:r>
          </w:p>
        </w:tc>
        <w:tc>
          <w:tcPr>
            <w:tcW w:w="3966"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eastAsia" w:ascii="宋体" w:hAnsi="宋体" w:cs="宋体"/>
                <w:highlight w:val="none"/>
              </w:rPr>
            </w:pPr>
            <w:r>
              <w:rPr>
                <w:rFonts w:hint="eastAsia" w:ascii="宋体" w:hAnsi="宋体" w:cs="宋体"/>
                <w:highlight w:val="none"/>
                <w:lang w:val="en-US" w:eastAsia="zh-CN"/>
              </w:rPr>
              <w:t>商务</w:t>
            </w:r>
            <w:r>
              <w:rPr>
                <w:rFonts w:hint="eastAsia" w:ascii="宋体" w:hAnsi="宋体" w:cs="宋体"/>
                <w:highlight w:val="none"/>
              </w:rPr>
              <w:t>联 系 人：</w:t>
            </w:r>
            <w:r>
              <w:rPr>
                <w:rFonts w:hint="eastAsia" w:ascii="宋体" w:hAnsi="宋体"/>
                <w:highlight w:val="none"/>
                <w:lang w:val="en-US" w:eastAsia="zh-CN"/>
              </w:rPr>
              <w:t>李园园</w:t>
            </w:r>
          </w:p>
          <w:p>
            <w:pPr>
              <w:tabs>
                <w:tab w:val="left" w:pos="0"/>
                <w:tab w:val="decimal" w:pos="6240"/>
                <w:tab w:val="right" w:pos="9600"/>
                <w:tab w:val="right" w:leader="dot" w:pos="10800"/>
              </w:tabs>
              <w:autoSpaceDE w:val="0"/>
              <w:autoSpaceDN w:val="0"/>
              <w:spacing w:line="360" w:lineRule="auto"/>
              <w:ind w:right="-1133"/>
              <w:rPr>
                <w:rFonts w:hint="default" w:ascii="宋体" w:hAnsi="宋体" w:cs="宋体"/>
                <w:highlight w:val="none"/>
                <w:lang w:val="en-US"/>
              </w:rPr>
            </w:pPr>
            <w:r>
              <w:rPr>
                <w:rFonts w:hint="eastAsia" w:ascii="宋体" w:hAnsi="宋体" w:cs="宋体"/>
                <w:highlight w:val="none"/>
              </w:rPr>
              <w:t>电    话：</w:t>
            </w:r>
            <w:r>
              <w:rPr>
                <w:rFonts w:hint="eastAsia" w:ascii="宋体" w:hAnsi="宋体"/>
                <w:highlight w:val="none"/>
                <w:lang w:val="en-US" w:eastAsia="zh-CN"/>
              </w:rPr>
              <w:t>18246093616</w:t>
            </w:r>
          </w:p>
          <w:p>
            <w:pPr>
              <w:widowControl/>
              <w:spacing w:line="0" w:lineRule="atLeast"/>
              <w:jc w:val="left"/>
              <w:rPr>
                <w:rFonts w:hint="eastAsia" w:ascii="宋体" w:hAnsi="宋体" w:cs="宋体"/>
                <w:color w:val="000000"/>
                <w:highlight w:val="none"/>
                <w:lang w:val="zh-CN"/>
              </w:rPr>
            </w:pPr>
            <w:r>
              <w:rPr>
                <w:rFonts w:hint="eastAsia" w:ascii="宋体" w:hAnsi="宋体" w:cs="宋体"/>
                <w:highlight w:val="none"/>
              </w:rPr>
              <w:t>电子邮箱：</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11"/>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p>
        </w:tc>
        <w:tc>
          <w:tcPr>
            <w:tcW w:w="3484" w:type="dxa"/>
            <w:tcBorders>
              <w:top w:val="single" w:color="auto" w:sz="6" w:space="0"/>
              <w:left w:val="single" w:color="auto" w:sz="6" w:space="0"/>
              <w:bottom w:val="single" w:color="auto" w:sz="6" w:space="0"/>
              <w:right w:val="single" w:color="auto" w:sz="6" w:space="0"/>
            </w:tcBorders>
            <w:noWrap w:val="0"/>
            <w:vAlign w:val="center"/>
          </w:tcPr>
          <w:p>
            <w:pPr>
              <w:adjustRightInd w:val="0"/>
              <w:snapToGrid w:val="0"/>
              <w:spacing w:line="0" w:lineRule="atLeast"/>
              <w:rPr>
                <w:rFonts w:hint="default" w:ascii="宋体" w:hAnsi="宋体"/>
                <w:highlight w:val="none"/>
                <w:lang w:val="en-US" w:eastAsia="zh-CN"/>
              </w:rPr>
            </w:pPr>
            <w:r>
              <w:rPr>
                <w:rFonts w:hint="eastAsia" w:ascii="宋体" w:hAnsi="宋体" w:cs="宋体"/>
                <w:highlight w:val="none"/>
                <w:lang w:val="en-US" w:eastAsia="zh-CN"/>
              </w:rPr>
              <w:t>技术</w:t>
            </w:r>
            <w:r>
              <w:rPr>
                <w:rFonts w:hint="eastAsia" w:ascii="宋体" w:hAnsi="宋体" w:cs="宋体"/>
                <w:highlight w:val="none"/>
              </w:rPr>
              <w:t>联 系 人：</w:t>
            </w:r>
            <w:r>
              <w:rPr>
                <w:rFonts w:hint="eastAsia" w:ascii="宋体" w:hAnsi="宋体"/>
                <w:highlight w:val="none"/>
                <w:lang w:val="en-US" w:eastAsia="zh-CN"/>
              </w:rPr>
              <w:t>杜  鹏</w:t>
            </w:r>
          </w:p>
          <w:p>
            <w:pPr>
              <w:tabs>
                <w:tab w:val="left" w:pos="0"/>
                <w:tab w:val="decimal" w:pos="6240"/>
                <w:tab w:val="right" w:pos="9600"/>
                <w:tab w:val="right" w:leader="dot" w:pos="10800"/>
              </w:tabs>
              <w:autoSpaceDE w:val="0"/>
              <w:autoSpaceDN w:val="0"/>
              <w:spacing w:line="360" w:lineRule="auto"/>
              <w:ind w:right="-1133"/>
              <w:rPr>
                <w:rFonts w:hint="default" w:ascii="宋体" w:hAnsi="宋体"/>
                <w:highlight w:val="none"/>
                <w:lang w:val="en-US" w:eastAsia="zh-CN"/>
              </w:rPr>
            </w:pPr>
            <w:r>
              <w:rPr>
                <w:rFonts w:hint="eastAsia" w:ascii="宋体" w:hAnsi="宋体" w:cs="宋体"/>
                <w:highlight w:val="none"/>
              </w:rPr>
              <w:t>电    话：</w:t>
            </w:r>
            <w:r>
              <w:rPr>
                <w:rFonts w:hint="eastAsia" w:ascii="宋体" w:hAnsi="宋体"/>
                <w:highlight w:val="none"/>
                <w:lang w:val="en-US" w:eastAsia="zh-CN"/>
              </w:rPr>
              <w:t>15545243939</w:t>
            </w:r>
          </w:p>
          <w:p>
            <w:pPr>
              <w:adjustRightInd w:val="0"/>
              <w:snapToGrid w:val="0"/>
              <w:spacing w:line="0" w:lineRule="atLeast"/>
              <w:rPr>
                <w:rFonts w:hint="default" w:ascii="宋体" w:hAnsi="宋体" w:eastAsia="宋体" w:cs="宋体"/>
                <w:color w:val="000000"/>
                <w:highlight w:val="none"/>
                <w:lang w:val="en-US" w:eastAsia="zh-CN"/>
              </w:rPr>
            </w:pPr>
            <w:r>
              <w:rPr>
                <w:rFonts w:hint="eastAsia" w:ascii="宋体" w:hAnsi="宋体" w:cs="宋体"/>
                <w:highlight w:val="none"/>
              </w:rPr>
              <w:t>电子邮箱：</w:t>
            </w:r>
            <w:r>
              <w:rPr>
                <w:rFonts w:hint="eastAsia" w:ascii="宋体" w:hAnsi="宋体" w:cs="宋体"/>
                <w:highlight w:val="none"/>
                <w:lang w:val="en-US" w:eastAsia="zh-CN"/>
              </w:rPr>
              <w:t>542333666@qq.com</w:t>
            </w:r>
          </w:p>
        </w:tc>
      </w:tr>
      <w:tr>
        <w:tblPrEx>
          <w:tblCellMar>
            <w:top w:w="0" w:type="dxa"/>
            <w:left w:w="108" w:type="dxa"/>
            <w:bottom w:w="0" w:type="dxa"/>
            <w:right w:w="108" w:type="dxa"/>
          </w:tblCellMar>
        </w:tblPrEx>
        <w:trPr>
          <w:trHeight w:val="632"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lang w:val="zh-CN"/>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hint="eastAsia" w:ascii="宋体" w:hAnsi="宋体" w:cs="宋体"/>
                <w:lang w:val="zh-CN"/>
              </w:rPr>
              <w:t>其他要求</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zh-CN"/>
              </w:rPr>
            </w:pPr>
            <w:r>
              <w:rPr>
                <w:rFonts w:ascii="宋体" w:hAnsi="宋体" w:cs="宋体"/>
                <w:lang w:val="zh-CN"/>
              </w:rPr>
              <w:fldChar w:fldCharType="begin"/>
            </w:r>
            <w:r>
              <w:rPr>
                <w:rFonts w:ascii="宋体" w:hAnsi="宋体" w:cs="宋体"/>
                <w:lang w:val="zh-CN"/>
              </w:rPr>
              <w:instrText xml:space="preserve"> HYPERLINK "mailto:</w:instrText>
            </w:r>
            <w:r>
              <w:rPr>
                <w:rFonts w:hint="eastAsia" w:ascii="宋体" w:hAnsi="宋体" w:cs="宋体"/>
                <w:lang w:val="zh-CN"/>
              </w:rPr>
              <w:instrText xml:space="preserve">关于</w:instrText>
            </w:r>
            <w:r>
              <w:rPr>
                <w:rFonts w:ascii="宋体" w:hAnsi="宋体" w:cs="宋体"/>
                <w:lang w:val="zh-CN"/>
              </w:rPr>
              <w:instrText xml:space="preserve">招标文件的澄清问题请发送</w:instrText>
            </w:r>
            <w:r>
              <w:rPr>
                <w:rFonts w:hint="eastAsia" w:ascii="宋体" w:hAnsi="宋体" w:cs="宋体"/>
              </w:rPr>
              <w:instrText xml:space="preserve">wujjms@163.com</w:instrText>
            </w:r>
            <w:r>
              <w:rPr>
                <w:rFonts w:ascii="宋体" w:hAnsi="宋体" w:cs="宋体"/>
                <w:lang w:val="zh-CN"/>
              </w:rPr>
              <w:instrText xml:space="preserve">" </w:instrText>
            </w:r>
            <w:r>
              <w:rPr>
                <w:rFonts w:ascii="宋体" w:hAnsi="宋体" w:cs="宋体"/>
                <w:lang w:val="zh-CN"/>
              </w:rPr>
              <w:fldChar w:fldCharType="separate"/>
            </w:r>
            <w:r>
              <w:rPr>
                <w:rStyle w:val="11"/>
                <w:rFonts w:hint="eastAsia" w:ascii="宋体" w:hAnsi="宋体" w:cs="宋体"/>
                <w:lang w:val="zh-CN"/>
              </w:rPr>
              <w:t>关于</w:t>
            </w:r>
            <w:r>
              <w:rPr>
                <w:rStyle w:val="11"/>
                <w:rFonts w:ascii="宋体" w:hAnsi="宋体" w:cs="宋体"/>
                <w:lang w:val="zh-CN"/>
              </w:rPr>
              <w:t>招标文件的澄清问题请发送</w:t>
            </w:r>
            <w:r>
              <w:rPr>
                <w:rFonts w:hint="eastAsia" w:ascii="宋体" w:hAnsi="宋体" w:cs="宋体"/>
                <w:color w:val="000000"/>
                <w:kern w:val="0"/>
                <w:sz w:val="24"/>
                <w:szCs w:val="24"/>
                <w:highlight w:val="none"/>
              </w:rPr>
              <w:fldChar w:fldCharType="begin"/>
            </w:r>
            <w:r>
              <w:rPr>
                <w:rFonts w:hint="eastAsia" w:ascii="宋体" w:hAnsi="宋体" w:cs="宋体"/>
                <w:color w:val="000000"/>
                <w:kern w:val="0"/>
                <w:sz w:val="24"/>
                <w:szCs w:val="24"/>
                <w:highlight w:val="none"/>
              </w:rPr>
              <w:instrText xml:space="preserve"> HYPERLINK "mailto:jzcg8@jiuzhougroup.com" </w:instrText>
            </w:r>
            <w:r>
              <w:rPr>
                <w:rFonts w:hint="eastAsia" w:ascii="宋体" w:hAnsi="宋体" w:cs="宋体"/>
                <w:color w:val="000000"/>
                <w:kern w:val="0"/>
                <w:sz w:val="24"/>
                <w:szCs w:val="24"/>
                <w:highlight w:val="none"/>
              </w:rPr>
              <w:fldChar w:fldCharType="separate"/>
            </w:r>
            <w:r>
              <w:rPr>
                <w:rStyle w:val="11"/>
                <w:rFonts w:hint="eastAsia" w:ascii="宋体" w:hAnsi="宋体" w:cs="宋体"/>
                <w:color w:val="000000"/>
                <w:kern w:val="0"/>
                <w:sz w:val="24"/>
                <w:szCs w:val="24"/>
                <w:highlight w:val="none"/>
              </w:rPr>
              <w:t>jzcg8@jiuzhougroup.com</w:t>
            </w:r>
            <w:r>
              <w:rPr>
                <w:rFonts w:hint="eastAsia" w:ascii="宋体" w:hAnsi="宋体" w:cs="宋体"/>
                <w:color w:val="000000"/>
                <w:kern w:val="0"/>
                <w:sz w:val="24"/>
                <w:szCs w:val="24"/>
                <w:highlight w:val="none"/>
              </w:rPr>
              <w:fldChar w:fldCharType="end"/>
            </w:r>
            <w:r>
              <w:rPr>
                <w:rFonts w:ascii="宋体" w:hAnsi="宋体" w:cs="宋体"/>
                <w:lang w:val="zh-CN"/>
              </w:rPr>
              <w:fldChar w:fldCharType="end"/>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kern w:val="2"/>
                <w:sz w:val="21"/>
                <w:szCs w:val="21"/>
                <w:lang w:val="zh-CN" w:eastAsia="zh-CN" w:bidi="ar-SA"/>
              </w:rPr>
            </w:pPr>
            <w:r>
              <w:rPr>
                <w:rFonts w:hint="eastAsia" w:ascii="宋体" w:hAnsi="宋体" w:cs="宋体"/>
                <w:lang w:val="zh-CN"/>
              </w:rPr>
              <w:t>17</w:t>
            </w:r>
          </w:p>
        </w:tc>
        <w:tc>
          <w:tcPr>
            <w:tcW w:w="199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标书费、保证金</w:t>
            </w:r>
          </w:p>
          <w:p>
            <w:pPr>
              <w:autoSpaceDE w:val="0"/>
              <w:autoSpaceDN w:val="0"/>
              <w:adjustRightInd w:val="0"/>
              <w:spacing w:line="360" w:lineRule="exact"/>
              <w:rPr>
                <w:rFonts w:hint="eastAsia" w:ascii="宋体" w:hAnsi="宋体" w:cs="宋体"/>
                <w:kern w:val="2"/>
                <w:sz w:val="21"/>
                <w:szCs w:val="21"/>
                <w:lang w:val="zh-CN" w:eastAsia="zh-CN" w:bidi="ar-SA"/>
              </w:rPr>
            </w:pPr>
            <w:r>
              <w:rPr>
                <w:rFonts w:hint="eastAsia" w:ascii="宋体" w:hAnsi="宋体" w:cs="宋体"/>
                <w:lang w:val="en-US" w:eastAsia="zh-CN"/>
              </w:rPr>
              <w:t>汇款账户</w:t>
            </w:r>
          </w:p>
        </w:tc>
        <w:tc>
          <w:tcPr>
            <w:tcW w:w="745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rPr>
                <w:rFonts w:hint="default" w:eastAsia="宋体"/>
                <w:lang w:val="en-US" w:eastAsia="zh-CN"/>
              </w:rPr>
            </w:pPr>
            <w:r>
              <w:rPr>
                <w:rFonts w:hint="eastAsia"/>
                <w:lang w:val="en-US" w:eastAsia="zh-CN"/>
              </w:rPr>
              <w:t>标书费：500元，投标保证金：20000元</w:t>
            </w:r>
          </w:p>
          <w:p>
            <w:pPr>
              <w:autoSpaceDE w:val="0"/>
              <w:autoSpaceDN w:val="0"/>
              <w:adjustRightInd w:val="0"/>
              <w:spacing w:line="360" w:lineRule="exact"/>
              <w:rPr>
                <w:rFonts w:hint="eastAsia"/>
              </w:rPr>
            </w:pPr>
            <w:r>
              <w:rPr>
                <w:rFonts w:hint="eastAsia"/>
              </w:rPr>
              <w:t>户名：哈尔滨九洲</w:t>
            </w:r>
            <w:r>
              <w:rPr>
                <w:rFonts w:hint="eastAsia"/>
                <w:lang w:val="en-US" w:eastAsia="zh-CN"/>
              </w:rPr>
              <w:t>集团</w:t>
            </w:r>
            <w:r>
              <w:rPr>
                <w:rFonts w:hint="eastAsia"/>
              </w:rPr>
              <w:t>股份有限公司</w:t>
            </w:r>
          </w:p>
          <w:p>
            <w:pPr>
              <w:autoSpaceDE w:val="0"/>
              <w:autoSpaceDN w:val="0"/>
              <w:adjustRightInd w:val="0"/>
              <w:spacing w:line="360" w:lineRule="exact"/>
              <w:rPr>
                <w:rFonts w:hint="eastAsia"/>
              </w:rPr>
            </w:pPr>
            <w:r>
              <w:rPr>
                <w:rFonts w:hint="eastAsia"/>
              </w:rPr>
              <w:t>开户行：中国建设银行股份有限公司哈尔滨铁道支行</w:t>
            </w:r>
          </w:p>
          <w:p>
            <w:pPr>
              <w:autoSpaceDE w:val="0"/>
              <w:autoSpaceDN w:val="0"/>
              <w:adjustRightInd w:val="0"/>
              <w:spacing w:line="360" w:lineRule="exact"/>
              <w:rPr>
                <w:rFonts w:hint="eastAsia" w:ascii="宋体" w:hAnsi="宋体" w:cs="宋体"/>
                <w:kern w:val="2"/>
                <w:sz w:val="21"/>
                <w:szCs w:val="21"/>
                <w:lang w:val="zh-CN" w:eastAsia="zh-CN" w:bidi="ar-SA"/>
              </w:rPr>
            </w:pPr>
            <w:r>
              <w:rPr>
                <w:rFonts w:hint="eastAsia"/>
              </w:rPr>
              <w:t>账号：23001867151050002942</w:t>
            </w:r>
          </w:p>
        </w:tc>
      </w:tr>
      <w:tr>
        <w:tblPrEx>
          <w:tblCellMar>
            <w:top w:w="0" w:type="dxa"/>
            <w:left w:w="108" w:type="dxa"/>
            <w:bottom w:w="0" w:type="dxa"/>
            <w:right w:w="108" w:type="dxa"/>
          </w:tblCellMar>
        </w:tblPrEx>
        <w:trPr>
          <w:trHeight w:val="737" w:hRule="atLeast"/>
          <w:jc w:val="center"/>
        </w:trPr>
        <w:tc>
          <w:tcPr>
            <w:tcW w:w="803"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spacing w:line="360" w:lineRule="exact"/>
              <w:jc w:val="center"/>
              <w:rPr>
                <w:rFonts w:hint="eastAsia" w:ascii="宋体" w:hAnsi="宋体" w:cs="宋体"/>
                <w:kern w:val="2"/>
                <w:sz w:val="21"/>
                <w:szCs w:val="24"/>
                <w:lang w:val="zh-CN" w:eastAsia="zh-CN" w:bidi="ar-SA"/>
              </w:rPr>
            </w:pPr>
            <w:r>
              <w:rPr>
                <w:rFonts w:hint="eastAsia" w:ascii="宋体" w:hAnsi="宋体" w:cs="宋体"/>
                <w:lang w:val="en-US" w:eastAsia="zh-CN"/>
              </w:rPr>
              <w:t>18</w:t>
            </w:r>
          </w:p>
        </w:tc>
        <w:tc>
          <w:tcPr>
            <w:tcW w:w="9443" w:type="dxa"/>
            <w:gridSpan w:val="3"/>
            <w:tcBorders>
              <w:top w:val="single" w:color="auto" w:sz="6" w:space="0"/>
              <w:left w:val="single" w:color="auto" w:sz="6" w:space="0"/>
              <w:bottom w:val="single" w:color="auto" w:sz="6" w:space="0"/>
              <w:right w:val="single" w:color="auto" w:sz="6" w:space="0"/>
            </w:tcBorders>
            <w:noWrap w:val="0"/>
            <w:vAlign w:val="center"/>
          </w:tcPr>
          <w:p>
            <w:pPr>
              <w:rPr>
                <w:rFonts w:hint="eastAsia"/>
                <w:lang w:eastAsia="zh-CN"/>
              </w:rPr>
            </w:pPr>
            <w:r>
              <w:rPr>
                <w:rFonts w:hint="eastAsia"/>
              </w:rPr>
              <w:t>评标方法：综合评定法</w:t>
            </w:r>
            <w:r>
              <w:rPr>
                <w:rFonts w:hint="eastAsia"/>
                <w:lang w:eastAsia="zh-CN"/>
              </w:rPr>
              <w:t>，</w:t>
            </w:r>
          </w:p>
          <w:p>
            <w:pPr>
              <w:autoSpaceDE w:val="0"/>
              <w:autoSpaceDN w:val="0"/>
              <w:adjustRightInd w:val="0"/>
              <w:spacing w:line="360" w:lineRule="exact"/>
              <w:rPr>
                <w:rFonts w:ascii="宋体" w:hAnsi="宋体" w:cs="宋体"/>
                <w:lang w:val="zh-CN"/>
              </w:rPr>
            </w:pPr>
            <w:r>
              <w:rPr>
                <w:rFonts w:hint="eastAsia" w:ascii="Times New Roman" w:hAnsi="Times New Roman" w:eastAsia="宋体" w:cs="Times New Roman"/>
                <w:kern w:val="2"/>
                <w:sz w:val="21"/>
                <w:szCs w:val="24"/>
                <w:lang w:val="en-US" w:eastAsia="zh-CN" w:bidi="ar-SA"/>
              </w:rPr>
              <w:t>中标服务费：中标方须支付中标服务费（合同总价的1%）,包含在总价中，不在单独列出。</w:t>
            </w:r>
          </w:p>
        </w:tc>
      </w:tr>
    </w:tbl>
    <w:p>
      <w:pPr>
        <w:autoSpaceDE w:val="0"/>
        <w:autoSpaceDN w:val="0"/>
        <w:adjustRightInd w:val="0"/>
        <w:spacing w:line="360" w:lineRule="exact"/>
        <w:rPr>
          <w:rFonts w:hint="eastAsia" w:ascii="宋体" w:hAnsi="宋体" w:cs="宋体"/>
        </w:rPr>
      </w:pPr>
      <w:r>
        <w:rPr>
          <w:rFonts w:hint="eastAsia" w:ascii="宋体" w:hAnsi="宋体" w:cs="宋体"/>
          <w:b/>
          <w:bCs/>
          <w:sz w:val="24"/>
          <w:szCs w:val="24"/>
          <w:lang w:val="zh-CN"/>
        </w:rPr>
        <w:br w:type="page"/>
      </w:r>
      <w:bookmarkStart w:id="1" w:name="_Toc9922"/>
      <w:r>
        <w:rPr>
          <w:rStyle w:val="12"/>
          <w:rFonts w:hint="eastAsia"/>
        </w:rPr>
        <w:t>1. 定义</w:t>
      </w:r>
      <w:bookmarkEnd w:id="1"/>
    </w:p>
    <w:p>
      <w:pPr>
        <w:tabs>
          <w:tab w:val="left" w:pos="0"/>
          <w:tab w:val="decimal" w:pos="8460"/>
          <w:tab w:val="right" w:leader="dot" w:pos="10800"/>
        </w:tabs>
        <w:spacing w:line="360" w:lineRule="auto"/>
        <w:ind w:right="-60"/>
        <w:jc w:val="both"/>
        <w:rPr>
          <w:rFonts w:hint="eastAsia" w:ascii="宋体" w:hAnsi="宋体" w:cs="宋体"/>
          <w:highlight w:val="yellow"/>
          <w:lang w:val="zh-CN"/>
        </w:rPr>
      </w:pPr>
      <w:r>
        <w:rPr>
          <w:rFonts w:hint="eastAsia" w:ascii="宋体" w:hAnsi="宋体" w:cs="宋体"/>
          <w:highlight w:val="yellow"/>
          <w:lang w:val="zh-CN"/>
        </w:rPr>
        <w:t>1.1 工程：指位于</w:t>
      </w:r>
      <w:r>
        <w:rPr>
          <w:rFonts w:hint="eastAsia" w:ascii="宋体" w:hAnsi="宋体" w:cs="宋体"/>
          <w:highlight w:val="yellow"/>
          <w:lang w:val="en-US" w:eastAsia="zh-CN"/>
        </w:rPr>
        <w:t>齐齐哈尔市富裕县2*40MW农林生物质热电项目（一期二期</w:t>
      </w:r>
      <w:r>
        <w:rPr>
          <w:rFonts w:hint="eastAsia" w:ascii="宋体" w:hAnsi="宋体" w:cs="宋体"/>
          <w:b w:val="0"/>
          <w:bCs w:val="0"/>
          <w:highlight w:val="yellow"/>
          <w:lang w:val="en-US" w:eastAsia="zh-CN"/>
        </w:rPr>
        <w:t>）</w:t>
      </w:r>
      <w:r>
        <w:rPr>
          <w:rFonts w:hint="eastAsia" w:ascii="宋体" w:hAnsi="宋体" w:eastAsia="宋体" w:cs="宋体"/>
          <w:b w:val="0"/>
          <w:bCs w:val="0"/>
          <w:sz w:val="21"/>
          <w:szCs w:val="21"/>
          <w:highlight w:val="yellow"/>
          <w:lang w:val="en-US" w:eastAsia="zh-CN"/>
        </w:rPr>
        <w:t>沥青混凝土道路、普通混凝土道路、干料棚钢筋混凝土地面、无钢筋混凝土地面、人行步道砖路面工程</w:t>
      </w:r>
      <w:r>
        <w:rPr>
          <w:rFonts w:hint="eastAsia" w:ascii="宋体" w:hAnsi="宋体" w:cs="宋体"/>
          <w:highlight w:val="yellow"/>
          <w:lang w:val="en-US" w:eastAsia="zh-CN"/>
        </w:rPr>
        <w:t>，</w:t>
      </w:r>
      <w:r>
        <w:rPr>
          <w:rFonts w:hint="eastAsia" w:ascii="宋体" w:hAnsi="宋体" w:cs="宋体"/>
          <w:highlight w:val="yellow"/>
          <w:lang w:val="zh-CN"/>
        </w:rPr>
        <w:t>详见招标文件第五章。</w:t>
      </w:r>
    </w:p>
    <w:p>
      <w:pPr>
        <w:autoSpaceDE w:val="0"/>
        <w:autoSpaceDN w:val="0"/>
        <w:adjustRightInd w:val="0"/>
        <w:spacing w:line="360" w:lineRule="exact"/>
        <w:rPr>
          <w:rFonts w:hint="eastAsia" w:ascii="宋体" w:hAnsi="宋体" w:cs="宋体"/>
          <w:highlight w:val="yellow"/>
          <w:lang w:val="zh-CN"/>
        </w:rPr>
      </w:pPr>
      <w:r>
        <w:rPr>
          <w:rFonts w:hint="eastAsia" w:ascii="宋体" w:hAnsi="宋体" w:cs="宋体"/>
          <w:highlight w:val="yellow"/>
          <w:lang w:val="zh-CN"/>
        </w:rPr>
        <w:t>1.2 招标人：指</w:t>
      </w:r>
      <w:r>
        <w:rPr>
          <w:rFonts w:hint="eastAsia" w:ascii="宋体" w:hAnsi="宋体" w:eastAsia="宋体" w:cs="宋体"/>
          <w:sz w:val="21"/>
          <w:szCs w:val="21"/>
          <w:highlight w:val="yellow"/>
          <w:lang w:val="zh-CN"/>
        </w:rPr>
        <w:t>沈阳昊诚电气有限公司</w:t>
      </w:r>
      <w:r>
        <w:rPr>
          <w:rFonts w:hint="eastAsia" w:ascii="宋体" w:hAnsi="宋体" w:cs="宋体"/>
          <w:highlight w:val="yellow"/>
          <w:lang w:val="zh-CN"/>
        </w:rPr>
        <w:t>，包括其承继者和经许可的受让人，在签订和执行合同阶段称为业主。</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1.3 投标人：指响应招标，参加投标竞争的法人或组织。</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1.4 中标人：指经过招标、评标并最终被授予合同的投标人。</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1.5 评标委员会：指招标人依法组建的，由招标人及招标人聘请的经济、技术专家组成的，负责具体评标工作的机构。</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 xml:space="preserve">1.6 承包商：指招标人通过本次招标所选择的，以总承包方式承建工程的法人或组织。在招投标阶段称为投标人。 </w:t>
      </w:r>
    </w:p>
    <w:p>
      <w:pPr>
        <w:autoSpaceDE w:val="0"/>
        <w:autoSpaceDN w:val="0"/>
        <w:adjustRightInd w:val="0"/>
        <w:spacing w:line="360" w:lineRule="exact"/>
        <w:rPr>
          <w:rFonts w:hint="eastAsia" w:ascii="宋体" w:hAnsi="宋体" w:cs="宋体"/>
        </w:rPr>
      </w:pPr>
      <w:r>
        <w:rPr>
          <w:rFonts w:hint="eastAsia" w:ascii="宋体" w:hAnsi="宋体" w:cs="宋体"/>
        </w:rPr>
        <w:t>1.</w:t>
      </w:r>
      <w:r>
        <w:rPr>
          <w:rFonts w:hint="eastAsia" w:ascii="宋体" w:hAnsi="宋体" w:cs="宋体"/>
          <w:lang w:val="en-US" w:eastAsia="zh-CN"/>
        </w:rPr>
        <w:t>7</w:t>
      </w:r>
      <w:r>
        <w:rPr>
          <w:rFonts w:hint="eastAsia" w:ascii="宋体" w:hAnsi="宋体" w:cs="宋体"/>
        </w:rPr>
        <w:t xml:space="preserve"> </w:t>
      </w:r>
      <w:r>
        <w:rPr>
          <w:rFonts w:hint="eastAsia" w:ascii="宋体" w:hAnsi="宋体" w:cs="宋体"/>
          <w:lang w:val="zh-CN"/>
        </w:rPr>
        <w:t>承包商必须在投标文件中承诺“除满足合同进度以外，还要满足业主因工程进度需要而变更进度的要求并不因此而另外追加合同费用”。</w:t>
      </w:r>
    </w:p>
    <w:p>
      <w:pPr>
        <w:autoSpaceDE w:val="0"/>
        <w:autoSpaceDN w:val="0"/>
        <w:adjustRightInd w:val="0"/>
        <w:spacing w:line="360" w:lineRule="exact"/>
        <w:rPr>
          <w:rFonts w:hint="eastAsia" w:ascii="宋体" w:hAnsi="宋体" w:cs="宋体"/>
          <w:lang w:val="zh-CN"/>
        </w:rPr>
      </w:pPr>
      <w:r>
        <w:rPr>
          <w:rFonts w:hint="eastAsia" w:ascii="宋体" w:hAnsi="宋体" w:cs="宋体"/>
        </w:rPr>
        <w:t>1.</w:t>
      </w:r>
      <w:r>
        <w:rPr>
          <w:rFonts w:hint="eastAsia" w:ascii="宋体" w:hAnsi="宋体" w:cs="宋体"/>
          <w:lang w:val="en-US" w:eastAsia="zh-CN"/>
        </w:rPr>
        <w:t>8</w:t>
      </w:r>
      <w:r>
        <w:rPr>
          <w:rFonts w:hint="eastAsia" w:ascii="宋体" w:hAnsi="宋体" w:cs="宋体"/>
        </w:rPr>
        <w:t xml:space="preserve"> </w:t>
      </w:r>
      <w:r>
        <w:rPr>
          <w:rFonts w:hint="eastAsia" w:ascii="宋体" w:hAnsi="宋体" w:cs="宋体"/>
          <w:lang w:val="zh-CN"/>
        </w:rPr>
        <w:t>投标人必须在投标文件中承诺：“无条件执行项目法人和监理单位关于工程建设管理的各项制度”。</w:t>
      </w:r>
    </w:p>
    <w:p>
      <w:pPr>
        <w:pStyle w:val="4"/>
        <w:bidi w:val="0"/>
        <w:rPr>
          <w:rFonts w:hint="eastAsia"/>
        </w:rPr>
      </w:pPr>
      <w:bookmarkStart w:id="2" w:name="_Toc28003"/>
      <w:r>
        <w:rPr>
          <w:rFonts w:hint="eastAsia"/>
        </w:rPr>
        <w:t xml:space="preserve">2. </w:t>
      </w:r>
      <w:r>
        <w:rPr>
          <w:rFonts w:hint="eastAsia"/>
          <w:lang w:val="zh-CN"/>
        </w:rPr>
        <w:t>工程概况</w:t>
      </w:r>
      <w:bookmarkEnd w:id="2"/>
    </w:p>
    <w:p>
      <w:pPr>
        <w:tabs>
          <w:tab w:val="left" w:pos="0"/>
          <w:tab w:val="decimal" w:pos="8460"/>
          <w:tab w:val="right" w:leader="dot" w:pos="10800"/>
        </w:tabs>
        <w:spacing w:line="360" w:lineRule="auto"/>
        <w:ind w:right="-60"/>
        <w:jc w:val="both"/>
        <w:rPr>
          <w:rFonts w:hint="eastAsia" w:ascii="宋体" w:hAnsi="宋体" w:eastAsia="宋体" w:cs="宋体"/>
          <w:b w:val="0"/>
          <w:bCs w:val="0"/>
          <w:sz w:val="21"/>
          <w:szCs w:val="21"/>
          <w:highlight w:val="yellow"/>
          <w:lang w:val="en-US" w:eastAsia="zh-CN"/>
        </w:rPr>
      </w:pPr>
      <w:r>
        <w:rPr>
          <w:rFonts w:hint="eastAsia" w:ascii="宋体" w:hAnsi="宋体" w:cs="宋体"/>
        </w:rPr>
        <w:t>2.1工程名称：</w:t>
      </w:r>
      <w:r>
        <w:rPr>
          <w:rFonts w:hint="eastAsia" w:ascii="宋体" w:hAnsi="宋体" w:cs="宋体"/>
          <w:highlight w:val="yellow"/>
          <w:lang w:val="en-US" w:eastAsia="zh-CN"/>
        </w:rPr>
        <w:t>富裕县2*40MW农林生物质热电项目（一期二期）</w:t>
      </w:r>
      <w:r>
        <w:rPr>
          <w:rFonts w:hint="eastAsia" w:ascii="宋体" w:hAnsi="宋体" w:eastAsia="宋体" w:cs="宋体"/>
          <w:b w:val="0"/>
          <w:bCs w:val="0"/>
          <w:sz w:val="21"/>
          <w:szCs w:val="21"/>
          <w:highlight w:val="yellow"/>
          <w:lang w:val="en-US" w:eastAsia="zh-CN"/>
        </w:rPr>
        <w:t>沥青混凝土道路、普通混凝土道路、干料棚钢筋混凝土地面、无钢筋混凝土地面、人行步道砖路面工程</w:t>
      </w:r>
    </w:p>
    <w:p>
      <w:pPr>
        <w:tabs>
          <w:tab w:val="left" w:pos="0"/>
          <w:tab w:val="decimal" w:pos="8460"/>
          <w:tab w:val="right" w:leader="dot" w:pos="10800"/>
        </w:tabs>
        <w:spacing w:line="360" w:lineRule="auto"/>
        <w:ind w:right="-60"/>
        <w:jc w:val="both"/>
        <w:rPr>
          <w:rFonts w:hint="eastAsia" w:ascii="宋体" w:hAnsi="宋体" w:cs="宋体"/>
          <w:highlight w:val="yellow"/>
        </w:rPr>
      </w:pPr>
      <w:r>
        <w:rPr>
          <w:rFonts w:hint="eastAsia" w:ascii="宋体" w:hAnsi="宋体" w:cs="宋体"/>
        </w:rPr>
        <w:t>2.2建设地点：</w:t>
      </w:r>
      <w:r>
        <w:rPr>
          <w:rFonts w:hint="eastAsia"/>
          <w:color w:val="000000"/>
          <w:szCs w:val="21"/>
          <w:highlight w:val="yellow"/>
        </w:rPr>
        <w:t>齐齐哈尔市</w:t>
      </w:r>
      <w:r>
        <w:rPr>
          <w:rFonts w:hint="eastAsia"/>
          <w:color w:val="000000"/>
          <w:szCs w:val="21"/>
          <w:highlight w:val="yellow"/>
          <w:lang w:val="en-US" w:eastAsia="zh-CN"/>
        </w:rPr>
        <w:t>富裕县工业园区内</w:t>
      </w:r>
    </w:p>
    <w:p>
      <w:pPr>
        <w:spacing w:line="300" w:lineRule="auto"/>
        <w:rPr>
          <w:rFonts w:hint="default" w:ascii="宋体" w:hAnsi="宋体" w:eastAsia="宋体" w:cs="宋体"/>
          <w:b w:val="0"/>
          <w:bCs w:val="0"/>
          <w:lang w:val="en-US" w:eastAsia="zh-CN"/>
        </w:rPr>
      </w:pPr>
      <w:r>
        <w:rPr>
          <w:rFonts w:hint="eastAsia" w:ascii="宋体" w:hAnsi="宋体" w:cs="宋体"/>
          <w:highlight w:val="none"/>
        </w:rPr>
        <w:t>2.3工程概况：</w:t>
      </w:r>
      <w:r>
        <w:rPr>
          <w:rFonts w:hint="eastAsia" w:ascii="宋体" w:hAnsi="宋体" w:cs="宋体"/>
          <w:highlight w:val="yellow"/>
        </w:rPr>
        <w:t>计划2</w:t>
      </w:r>
      <w:r>
        <w:rPr>
          <w:rFonts w:hint="eastAsia" w:ascii="宋体" w:hAnsi="宋体" w:cs="宋体"/>
          <w:highlight w:val="yellow"/>
          <w:lang w:val="en-US" w:eastAsia="zh-CN"/>
        </w:rPr>
        <w:t>022</w:t>
      </w:r>
      <w:r>
        <w:rPr>
          <w:rFonts w:hint="eastAsia" w:ascii="宋体" w:hAnsi="宋体" w:cs="宋体"/>
          <w:highlight w:val="yellow"/>
        </w:rPr>
        <w:t>年</w:t>
      </w:r>
      <w:r>
        <w:rPr>
          <w:rFonts w:hint="eastAsia" w:ascii="宋体" w:hAnsi="宋体" w:cs="宋体"/>
          <w:highlight w:val="yellow"/>
          <w:lang w:val="en-US" w:eastAsia="zh-CN"/>
        </w:rPr>
        <w:t>6</w:t>
      </w:r>
      <w:r>
        <w:rPr>
          <w:rFonts w:hint="eastAsia" w:ascii="宋体" w:hAnsi="宋体" w:cs="宋体"/>
          <w:highlight w:val="yellow"/>
        </w:rPr>
        <w:t>月</w:t>
      </w:r>
      <w:r>
        <w:rPr>
          <w:rFonts w:hint="eastAsia" w:ascii="宋体" w:hAnsi="宋体" w:cs="宋体"/>
          <w:highlight w:val="yellow"/>
          <w:lang w:val="en-US" w:eastAsia="zh-CN"/>
        </w:rPr>
        <w:t>10日</w:t>
      </w:r>
      <w:r>
        <w:rPr>
          <w:rFonts w:hint="eastAsia" w:ascii="宋体" w:hAnsi="宋体" w:cs="宋体"/>
          <w:highlight w:val="yellow"/>
        </w:rPr>
        <w:t>工程开始施工，20</w:t>
      </w:r>
      <w:r>
        <w:rPr>
          <w:rFonts w:hint="eastAsia" w:ascii="宋体" w:hAnsi="宋体" w:cs="宋体"/>
          <w:highlight w:val="yellow"/>
          <w:lang w:val="en-US" w:eastAsia="zh-CN"/>
        </w:rPr>
        <w:t>22</w:t>
      </w:r>
      <w:r>
        <w:rPr>
          <w:rFonts w:hint="eastAsia" w:ascii="宋体" w:hAnsi="宋体" w:cs="宋体"/>
          <w:highlight w:val="yellow"/>
        </w:rPr>
        <w:t>年</w:t>
      </w:r>
      <w:r>
        <w:rPr>
          <w:rFonts w:hint="eastAsia" w:ascii="宋体" w:hAnsi="宋体" w:cs="宋体"/>
          <w:highlight w:val="yellow"/>
          <w:lang w:val="en-US" w:eastAsia="zh-CN"/>
        </w:rPr>
        <w:t>9</w:t>
      </w:r>
      <w:r>
        <w:rPr>
          <w:rFonts w:hint="eastAsia" w:ascii="宋体" w:hAnsi="宋体" w:cs="宋体"/>
          <w:highlight w:val="yellow"/>
        </w:rPr>
        <w:t>月</w:t>
      </w:r>
      <w:r>
        <w:rPr>
          <w:rFonts w:hint="eastAsia" w:ascii="宋体" w:hAnsi="宋体" w:cs="宋体"/>
          <w:highlight w:val="yellow"/>
          <w:lang w:val="en-US" w:eastAsia="zh-CN"/>
        </w:rPr>
        <w:t>30</w:t>
      </w:r>
      <w:r>
        <w:rPr>
          <w:rFonts w:hint="eastAsia" w:ascii="宋体" w:hAnsi="宋体" w:cs="宋体"/>
          <w:highlight w:val="yellow"/>
        </w:rPr>
        <w:t>日前完成全部</w:t>
      </w:r>
      <w:r>
        <w:rPr>
          <w:rFonts w:hint="eastAsia" w:ascii="宋体" w:hAnsi="宋体" w:eastAsia="宋体" w:cs="宋体"/>
          <w:b w:val="0"/>
          <w:bCs w:val="0"/>
          <w:sz w:val="21"/>
          <w:szCs w:val="21"/>
          <w:highlight w:val="yellow"/>
          <w:lang w:val="en-US" w:eastAsia="zh-CN"/>
        </w:rPr>
        <w:t>工程。</w:t>
      </w:r>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2.</w:t>
      </w:r>
      <w:r>
        <w:rPr>
          <w:rFonts w:hint="eastAsia" w:ascii="宋体" w:hAnsi="宋体" w:cs="宋体"/>
        </w:rPr>
        <w:t xml:space="preserve">4 </w:t>
      </w:r>
      <w:r>
        <w:rPr>
          <w:rFonts w:hint="eastAsia" w:ascii="宋体" w:hAnsi="宋体" w:cs="宋体"/>
          <w:lang w:val="zh-CN"/>
        </w:rPr>
        <w:t>质量目标</w:t>
      </w:r>
    </w:p>
    <w:p>
      <w:pPr>
        <w:snapToGrid w:val="0"/>
        <w:spacing w:line="360" w:lineRule="auto"/>
        <w:rPr>
          <w:rFonts w:hint="eastAsia" w:ascii="宋体" w:hAnsi="宋体" w:cs="宋体"/>
        </w:rPr>
      </w:pPr>
      <w:r>
        <w:rPr>
          <w:rFonts w:hint="eastAsia" w:ascii="宋体" w:hAnsi="宋体" w:cs="宋体"/>
        </w:rPr>
        <w:t xml:space="preserve">   </w:t>
      </w:r>
      <w:r>
        <w:rPr>
          <w:rFonts w:hint="eastAsia" w:ascii="宋体" w:hAnsi="宋体" w:cs="宋体"/>
          <w:lang w:val="en-US" w:eastAsia="zh-CN"/>
        </w:rPr>
        <w:t xml:space="preserve"> </w:t>
      </w:r>
      <w:r>
        <w:rPr>
          <w:rFonts w:hint="eastAsia" w:ascii="宋体" w:hAnsi="宋体" w:cs="宋体"/>
        </w:rPr>
        <w:t>施工和完成的工程应遵守</w:t>
      </w:r>
      <w:r>
        <w:rPr>
          <w:rFonts w:hint="eastAsia" w:ascii="宋体" w:hAnsi="宋体" w:cs="宋体"/>
          <w:lang w:val="en-US" w:eastAsia="zh-CN"/>
        </w:rPr>
        <w:t>国家</w:t>
      </w:r>
      <w:r>
        <w:rPr>
          <w:rFonts w:hint="eastAsia" w:ascii="宋体" w:hAnsi="宋体" w:cs="宋体"/>
        </w:rPr>
        <w:t>的规范、技术标准、建筑、施工和环保规定及有关类似容量、范围及性质的发电厂的规定。在签订合同后，如果国内的规范、技术标准或规定作了重大修改，或颁行新的国家规范标准，则施工单位应遵守新的改变。</w:t>
      </w:r>
    </w:p>
    <w:p>
      <w:pPr>
        <w:autoSpaceDE w:val="0"/>
        <w:autoSpaceDN w:val="0"/>
        <w:adjustRightInd w:val="0"/>
        <w:spacing w:line="360" w:lineRule="exact"/>
        <w:ind w:firstLine="420"/>
        <w:rPr>
          <w:rFonts w:hint="eastAsia" w:ascii="宋体" w:hAnsi="宋体" w:cs="宋体"/>
        </w:rPr>
      </w:pPr>
      <w:r>
        <w:rPr>
          <w:rFonts w:hint="eastAsia" w:ascii="宋体" w:hAnsi="宋体" w:cs="宋体"/>
        </w:rPr>
        <w:t>本工程质量必须全面达到国家和电力行业颁布的优良标准，高水平达标投产。招标人鼓励投标人提出更高的质量标准，并在工程中实施。</w:t>
      </w:r>
    </w:p>
    <w:p>
      <w:pPr>
        <w:autoSpaceDE w:val="0"/>
        <w:autoSpaceDN w:val="0"/>
        <w:adjustRightInd w:val="0"/>
        <w:spacing w:line="360" w:lineRule="exact"/>
        <w:ind w:firstLine="420"/>
        <w:rPr>
          <w:rFonts w:hint="eastAsia" w:ascii="宋体" w:hAnsi="宋体" w:cs="宋体"/>
        </w:rPr>
      </w:pPr>
      <w:r>
        <w:rPr>
          <w:rFonts w:hint="eastAsia" w:ascii="宋体" w:hAnsi="宋体" w:cs="宋体"/>
        </w:rPr>
        <w:t>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numPr>
          <w:ilvl w:val="0"/>
          <w:numId w:val="1"/>
        </w:numPr>
        <w:autoSpaceDE w:val="0"/>
        <w:autoSpaceDN w:val="0"/>
        <w:adjustRightInd w:val="0"/>
        <w:spacing w:line="360" w:lineRule="exact"/>
        <w:ind w:firstLine="420"/>
        <w:rPr>
          <w:rFonts w:hint="eastAsia" w:ascii="宋体" w:hAnsi="宋体" w:cs="宋体"/>
          <w:lang w:val="zh-CN"/>
        </w:rPr>
      </w:pPr>
      <w:r>
        <w:rPr>
          <w:rFonts w:hint="eastAsia" w:ascii="宋体" w:hAnsi="宋体" w:cs="宋体"/>
          <w:lang w:val="zh-CN"/>
        </w:rPr>
        <w:t>主控项目:</w:t>
      </w:r>
    </w:p>
    <w:p>
      <w:pPr>
        <w:numPr>
          <w:ilvl w:val="0"/>
          <w:numId w:val="0"/>
        </w:numPr>
        <w:autoSpaceDE w:val="0"/>
        <w:autoSpaceDN w:val="0"/>
        <w:adjustRightInd w:val="0"/>
        <w:spacing w:line="360" w:lineRule="exact"/>
        <w:ind w:firstLine="2730" w:firstLineChars="1300"/>
        <w:rPr>
          <w:rFonts w:hint="eastAsia" w:ascii="宋体" w:hAnsi="宋体" w:eastAsia="宋体" w:cs="宋体"/>
          <w:lang w:val="en-US" w:eastAsia="zh-CN"/>
        </w:rPr>
      </w:pPr>
      <w:r>
        <w:rPr>
          <w:rFonts w:hint="eastAsia" w:ascii="宋体" w:hAnsi="宋体" w:cs="宋体"/>
          <w:lang w:val="en-US" w:eastAsia="zh-CN"/>
        </w:rPr>
        <w:t>路基</w:t>
      </w:r>
    </w:p>
    <w:tbl>
      <w:tblPr>
        <w:tblStyle w:val="9"/>
        <w:tblW w:w="5927"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4639"/>
        <w:gridCol w:w="1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gridAfter w:val="1"/>
          <w:wAfter w:w="13" w:type="dxa"/>
        </w:trPr>
        <w:tc>
          <w:tcPr>
            <w:tcW w:w="5914" w:type="dxa"/>
            <w:gridSpan w:val="3"/>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施工质量验收规范的规定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37"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ascii="宋体" w:hAnsi="宋体"/>
                <w:b/>
                <w:kern w:val="2"/>
                <w:szCs w:val="21"/>
              </w:rPr>
            </w:pPr>
            <w:r>
              <w:rPr>
                <w:rFonts w:hint="eastAsia" w:ascii="宋体" w:hAnsi="宋体"/>
                <w:b/>
                <w:kern w:val="2"/>
                <w:szCs w:val="21"/>
              </w:rPr>
              <w:t>主</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控</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目</w:t>
            </w: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1</w:t>
            </w:r>
          </w:p>
        </w:tc>
        <w:tc>
          <w:tcPr>
            <w:tcW w:w="463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材料质量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457"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2</w:t>
            </w:r>
          </w:p>
        </w:tc>
        <w:tc>
          <w:tcPr>
            <w:tcW w:w="4639" w:type="dxa"/>
            <w:noWrap w:val="0"/>
            <w:vAlign w:val="center"/>
          </w:tcPr>
          <w:p>
            <w:pPr>
              <w:topLinePunct/>
              <w:spacing w:before="30" w:after="30" w:line="280" w:lineRule="exact"/>
              <w:ind w:left="-302" w:leftChars="-144" w:firstLine="55" w:firstLineChars="26"/>
              <w:jc w:val="center"/>
              <w:rPr>
                <w:rFonts w:hint="eastAsia" w:ascii="宋体" w:hAnsi="宋体"/>
                <w:b/>
                <w:kern w:val="2"/>
                <w:szCs w:val="21"/>
              </w:rPr>
            </w:pPr>
            <w:r>
              <w:rPr>
                <w:rFonts w:hint="eastAsia" w:ascii="宋体" w:hAnsi="宋体"/>
                <w:b/>
                <w:kern w:val="2"/>
                <w:szCs w:val="21"/>
              </w:rPr>
              <w:t>压实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gridAfter w:val="1"/>
          <w:wAfter w:w="13" w:type="dxa"/>
          <w:trHeight w:val="388"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3</w:t>
            </w:r>
          </w:p>
        </w:tc>
        <w:tc>
          <w:tcPr>
            <w:tcW w:w="4639"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路床、路肩质量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3"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40" w:lineRule="exact"/>
              <w:ind w:firstLine="0"/>
              <w:jc w:val="center"/>
              <w:rPr>
                <w:rFonts w:hint="eastAsia" w:ascii="宋体" w:hAnsi="宋体"/>
                <w:b/>
                <w:kern w:val="2"/>
                <w:szCs w:val="21"/>
              </w:rPr>
            </w:pPr>
            <w:r>
              <w:rPr>
                <w:rFonts w:hint="eastAsia" w:ascii="宋体" w:hAnsi="宋体"/>
                <w:b/>
                <w:kern w:val="2"/>
                <w:szCs w:val="21"/>
              </w:rPr>
              <w:t>4</w:t>
            </w:r>
          </w:p>
        </w:tc>
        <w:tc>
          <w:tcPr>
            <w:tcW w:w="4652" w:type="dxa"/>
            <w:gridSpan w:val="2"/>
            <w:noWrap w:val="0"/>
            <w:vAlign w:val="center"/>
          </w:tcPr>
          <w:p>
            <w:pPr>
              <w:topLinePunct/>
              <w:spacing w:before="30" w:after="30" w:line="240" w:lineRule="exact"/>
              <w:ind w:firstLine="0"/>
              <w:jc w:val="center"/>
              <w:rPr>
                <w:rFonts w:hint="eastAsia" w:ascii="宋体" w:hAnsi="宋体"/>
                <w:b/>
                <w:kern w:val="2"/>
                <w:szCs w:val="21"/>
              </w:rPr>
            </w:pPr>
            <w:r>
              <w:rPr>
                <w:rFonts w:hint="eastAsia" w:ascii="宋体" w:hAnsi="宋体"/>
                <w:b/>
                <w:kern w:val="2"/>
                <w:szCs w:val="21"/>
              </w:rPr>
              <w:t>边坡、边沟</w:t>
            </w:r>
          </w:p>
        </w:tc>
      </w:tr>
    </w:tbl>
    <w:p>
      <w:pPr>
        <w:numPr>
          <w:ilvl w:val="0"/>
          <w:numId w:val="0"/>
        </w:numPr>
        <w:autoSpaceDE w:val="0"/>
        <w:autoSpaceDN w:val="0"/>
        <w:adjustRightInd w:val="0"/>
        <w:spacing w:line="360" w:lineRule="exact"/>
        <w:ind w:firstLine="210" w:firstLineChars="100"/>
        <w:rPr>
          <w:rFonts w:hint="eastAsia" w:ascii="宋体" w:hAnsi="宋体" w:cs="宋体"/>
          <w:lang w:val="en-US" w:eastAsia="zh-CN"/>
        </w:rPr>
      </w:pPr>
    </w:p>
    <w:p>
      <w:pPr>
        <w:numPr>
          <w:ilvl w:val="0"/>
          <w:numId w:val="0"/>
        </w:numPr>
        <w:autoSpaceDE w:val="0"/>
        <w:autoSpaceDN w:val="0"/>
        <w:adjustRightInd w:val="0"/>
        <w:spacing w:line="360" w:lineRule="exact"/>
        <w:ind w:firstLine="2520" w:firstLineChars="1200"/>
        <w:rPr>
          <w:rFonts w:hint="eastAsia" w:ascii="宋体" w:hAnsi="宋体" w:eastAsia="宋体" w:cs="宋体"/>
          <w:lang w:val="en-US" w:eastAsia="zh-CN"/>
        </w:rPr>
      </w:pPr>
      <w:r>
        <w:rPr>
          <w:rFonts w:hint="eastAsia" w:ascii="宋体" w:hAnsi="宋体" w:cs="宋体"/>
          <w:lang w:val="en-US" w:eastAsia="zh-CN"/>
        </w:rPr>
        <w:t>基层</w:t>
      </w:r>
    </w:p>
    <w:tbl>
      <w:tblPr>
        <w:tblStyle w:val="9"/>
        <w:tblW w:w="5914"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463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5914" w:type="dxa"/>
            <w:gridSpan w:val="3"/>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施工质量验收规范的规定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31"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主</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控</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目</w:t>
            </w: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1</w:t>
            </w:r>
          </w:p>
        </w:tc>
        <w:tc>
          <w:tcPr>
            <w:tcW w:w="463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压实密度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29"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2</w:t>
            </w:r>
          </w:p>
        </w:tc>
        <w:tc>
          <w:tcPr>
            <w:tcW w:w="463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表面质量</w:t>
            </w:r>
          </w:p>
        </w:tc>
      </w:tr>
    </w:tbl>
    <w:p>
      <w:pPr>
        <w:numPr>
          <w:ilvl w:val="0"/>
          <w:numId w:val="0"/>
        </w:numPr>
        <w:autoSpaceDE w:val="0"/>
        <w:autoSpaceDN w:val="0"/>
        <w:adjustRightInd w:val="0"/>
        <w:spacing w:line="360" w:lineRule="exact"/>
        <w:rPr>
          <w:rFonts w:hint="eastAsia" w:ascii="宋体" w:hAnsi="宋体" w:cs="宋体"/>
          <w:lang w:val="en-US" w:eastAsia="zh-CN"/>
        </w:rPr>
      </w:pPr>
      <w:r>
        <w:rPr>
          <w:rFonts w:hint="eastAsia" w:ascii="宋体" w:hAnsi="宋体" w:cs="宋体"/>
          <w:lang w:val="en-US" w:eastAsia="zh-CN"/>
        </w:rPr>
        <w:t>面层</w:t>
      </w:r>
    </w:p>
    <w:tbl>
      <w:tblPr>
        <w:tblStyle w:val="9"/>
        <w:tblW w:w="5902"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462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c>
          <w:tcPr>
            <w:tcW w:w="5902" w:type="dxa"/>
            <w:gridSpan w:val="3"/>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施工质量验收规范的规定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37"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主</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控</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目</w:t>
            </w: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1</w:t>
            </w:r>
          </w:p>
        </w:tc>
        <w:tc>
          <w:tcPr>
            <w:tcW w:w="462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原材料质量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ascii="宋体" w:hAnsi="宋体"/>
                <w:b/>
                <w:kern w:val="2"/>
                <w:szCs w:val="21"/>
              </w:rPr>
            </w:pPr>
            <w:r>
              <w:rPr>
                <w:rFonts w:hint="eastAsia" w:ascii="宋体" w:hAnsi="宋体"/>
                <w:b/>
                <w:kern w:val="2"/>
                <w:szCs w:val="21"/>
              </w:rPr>
              <w:t>2</w:t>
            </w:r>
          </w:p>
        </w:tc>
        <w:tc>
          <w:tcPr>
            <w:tcW w:w="462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混凝土强度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3</w:t>
            </w:r>
          </w:p>
        </w:tc>
        <w:tc>
          <w:tcPr>
            <w:tcW w:w="462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路面外观质量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4</w:t>
            </w:r>
          </w:p>
        </w:tc>
        <w:tc>
          <w:tcPr>
            <w:tcW w:w="462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伸缩缝及施工缝留置质量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02" w:hRule="atLeast"/>
        </w:trPr>
        <w:tc>
          <w:tcPr>
            <w:tcW w:w="838" w:type="dxa"/>
            <w:vMerge w:val="continue"/>
            <w:noWrap w:val="0"/>
            <w:vAlign w:val="center"/>
          </w:tcPr>
          <w:p>
            <w:pPr>
              <w:widowControl/>
              <w:spacing w:line="280" w:lineRule="exact"/>
              <w:ind w:firstLine="0"/>
              <w:jc w:val="center"/>
              <w:rPr>
                <w:rFonts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5</w:t>
            </w:r>
          </w:p>
        </w:tc>
        <w:tc>
          <w:tcPr>
            <w:tcW w:w="462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路面厚度偏差  +20~-5</w:t>
            </w:r>
          </w:p>
        </w:tc>
      </w:tr>
    </w:tbl>
    <w:p>
      <w:pPr>
        <w:numPr>
          <w:ilvl w:val="0"/>
          <w:numId w:val="0"/>
        </w:numPr>
        <w:autoSpaceDE w:val="0"/>
        <w:autoSpaceDN w:val="0"/>
        <w:adjustRightInd w:val="0"/>
        <w:spacing w:line="360" w:lineRule="exact"/>
        <w:rPr>
          <w:rFonts w:hint="eastAsia" w:ascii="宋体" w:hAnsi="宋体" w:cs="宋体"/>
          <w:lang w:val="zh-CN"/>
        </w:rPr>
      </w:pPr>
    </w:p>
    <w:p>
      <w:pPr>
        <w:numPr>
          <w:ilvl w:val="0"/>
          <w:numId w:val="1"/>
        </w:numPr>
        <w:autoSpaceDE w:val="0"/>
        <w:autoSpaceDN w:val="0"/>
        <w:adjustRightInd w:val="0"/>
        <w:spacing w:line="360" w:lineRule="exact"/>
        <w:ind w:left="0" w:leftChars="0" w:firstLine="420" w:firstLineChars="0"/>
        <w:rPr>
          <w:rFonts w:hint="eastAsia" w:ascii="宋体" w:hAnsi="宋体" w:cs="宋体"/>
          <w:lang w:val="zh-CN"/>
        </w:rPr>
      </w:pPr>
      <w:r>
        <w:rPr>
          <w:rFonts w:hint="eastAsia" w:ascii="宋体" w:hAnsi="宋体" w:cs="宋体"/>
          <w:lang w:val="zh-CN"/>
        </w:rPr>
        <w:t>一般项目:   </w:t>
      </w:r>
    </w:p>
    <w:p>
      <w:pPr>
        <w:numPr>
          <w:ilvl w:val="0"/>
          <w:numId w:val="0"/>
        </w:numPr>
        <w:autoSpaceDE w:val="0"/>
        <w:autoSpaceDN w:val="0"/>
        <w:adjustRightInd w:val="0"/>
        <w:spacing w:line="360" w:lineRule="exact"/>
        <w:ind w:left="420" w:leftChars="0" w:firstLine="2310" w:firstLineChars="1100"/>
        <w:rPr>
          <w:rFonts w:hint="eastAsia" w:ascii="宋体" w:hAnsi="宋体" w:eastAsia="宋体" w:cs="宋体"/>
          <w:lang w:val="en-US" w:eastAsia="zh-CN"/>
        </w:rPr>
      </w:pPr>
      <w:r>
        <w:rPr>
          <w:rFonts w:hint="eastAsia" w:ascii="宋体" w:hAnsi="宋体" w:cs="宋体"/>
          <w:lang w:val="en-US" w:eastAsia="zh-CN"/>
        </w:rPr>
        <w:t>路基</w:t>
      </w:r>
    </w:p>
    <w:tbl>
      <w:tblPr>
        <w:tblStyle w:val="9"/>
        <w:tblW w:w="5877"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1080"/>
        <w:gridCol w:w="352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一</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般</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目</w:t>
            </w:r>
          </w:p>
        </w:tc>
        <w:tc>
          <w:tcPr>
            <w:tcW w:w="437"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1</w:t>
            </w:r>
          </w:p>
        </w:tc>
        <w:tc>
          <w:tcPr>
            <w:tcW w:w="1080" w:type="dxa"/>
            <w:vMerge w:val="restart"/>
            <w:tcBorders>
              <w:righ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宽度偏差</w:t>
            </w: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土路床  +200~0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0"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1080" w:type="dxa"/>
            <w:vMerge w:val="continue"/>
            <w:tcBorders>
              <w:right w:val="single" w:color="auto" w:sz="4" w:space="0"/>
            </w:tcBorders>
            <w:noWrap w:val="0"/>
            <w:vAlign w:val="center"/>
          </w:tcPr>
          <w:p>
            <w:pPr>
              <w:topLinePunct/>
              <w:spacing w:before="30" w:after="30" w:line="280" w:lineRule="exact"/>
              <w:ind w:firstLine="0"/>
              <w:rPr>
                <w:rFonts w:hint="eastAsia" w:ascii="宋体" w:hAnsi="宋体"/>
                <w:b/>
                <w:kern w:val="2"/>
                <w:szCs w:val="21"/>
              </w:rPr>
            </w:pP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石路床  +100~0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56"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2</w:t>
            </w:r>
          </w:p>
        </w:tc>
        <w:tc>
          <w:tcPr>
            <w:tcW w:w="1080" w:type="dxa"/>
            <w:vMerge w:val="restart"/>
            <w:tcBorders>
              <w:righ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平整度</w:t>
            </w: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 xml:space="preserve">土路床  ≤20 </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18"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1080" w:type="dxa"/>
            <w:vMerge w:val="continue"/>
            <w:tcBorders>
              <w:right w:val="single" w:color="auto" w:sz="4" w:space="0"/>
            </w:tcBorders>
            <w:noWrap w:val="0"/>
            <w:vAlign w:val="center"/>
          </w:tcPr>
          <w:p>
            <w:pPr>
              <w:topLinePunct/>
              <w:spacing w:before="30" w:after="30" w:line="280" w:lineRule="exact"/>
              <w:jc w:val="center"/>
              <w:rPr>
                <w:rFonts w:hint="eastAsia" w:ascii="宋体" w:hAnsi="宋体"/>
                <w:b/>
                <w:kern w:val="2"/>
                <w:szCs w:val="21"/>
              </w:rPr>
            </w:pP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石路床  ≤30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3</w:t>
            </w:r>
          </w:p>
        </w:tc>
        <w:tc>
          <w:tcPr>
            <w:tcW w:w="4602"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中线标高偏差  ±20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4</w:t>
            </w:r>
          </w:p>
        </w:tc>
        <w:tc>
          <w:tcPr>
            <w:tcW w:w="1080" w:type="dxa"/>
            <w:vMerge w:val="restart"/>
            <w:tcBorders>
              <w:righ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横坡偏差</w:t>
            </w: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土路床  ±20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1080" w:type="dxa"/>
            <w:vMerge w:val="continue"/>
            <w:tcBorders>
              <w:righ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p>
        </w:tc>
        <w:tc>
          <w:tcPr>
            <w:tcW w:w="3522"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石路床  ≤0.5%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5</w:t>
            </w:r>
          </w:p>
        </w:tc>
        <w:tc>
          <w:tcPr>
            <w:tcW w:w="4602"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边坡坡度偏差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6</w:t>
            </w:r>
          </w:p>
        </w:tc>
        <w:tc>
          <w:tcPr>
            <w:tcW w:w="4602"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沟底标高偏差  0 ~ -30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5" w:hRule="atLeast"/>
        </w:trPr>
        <w:tc>
          <w:tcPr>
            <w:tcW w:w="838" w:type="dxa"/>
            <w:vMerge w:val="continue"/>
            <w:tcBorders>
              <w:bottom w:val="single" w:color="auto" w:sz="6" w:space="0"/>
            </w:tcBorders>
            <w:noWrap w:val="0"/>
            <w:vAlign w:val="center"/>
          </w:tcPr>
          <w:p>
            <w:pPr>
              <w:topLinePunct/>
              <w:spacing w:before="30" w:after="30" w:line="280" w:lineRule="exact"/>
              <w:ind w:firstLine="0"/>
              <w:jc w:val="center"/>
              <w:rPr>
                <w:rFonts w:hint="eastAsia" w:ascii="宋体" w:hAnsi="宋体"/>
                <w:b/>
                <w:kern w:val="2"/>
                <w:szCs w:val="21"/>
              </w:rPr>
            </w:pPr>
          </w:p>
        </w:tc>
        <w:tc>
          <w:tcPr>
            <w:tcW w:w="437" w:type="dxa"/>
            <w:tcBorders>
              <w:bottom w:val="single" w:color="auto" w:sz="6"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7</w:t>
            </w:r>
          </w:p>
        </w:tc>
        <w:tc>
          <w:tcPr>
            <w:tcW w:w="4602" w:type="dxa"/>
            <w:gridSpan w:val="2"/>
            <w:tcBorders>
              <w:bottom w:val="single" w:color="auto" w:sz="6"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沟底宽</w:t>
            </w:r>
          </w:p>
        </w:tc>
      </w:tr>
    </w:tbl>
    <w:p>
      <w:pPr>
        <w:keepNext w:val="0"/>
        <w:keepLines w:val="0"/>
        <w:pageBreakBefore w:val="0"/>
        <w:kinsoku/>
        <w:wordWrap/>
        <w:overflowPunct/>
        <w:topLinePunct w:val="0"/>
        <w:autoSpaceDE w:val="0"/>
        <w:autoSpaceDN w:val="0"/>
        <w:bidi w:val="0"/>
        <w:adjustRightInd w:val="0"/>
        <w:snapToGrid/>
        <w:spacing w:line="360" w:lineRule="auto"/>
        <w:ind w:firstLine="2730" w:firstLineChars="1300"/>
        <w:rPr>
          <w:rFonts w:hint="eastAsia" w:ascii="宋体" w:hAnsi="宋体" w:eastAsia="宋体" w:cs="宋体"/>
          <w:lang w:val="en-US" w:eastAsia="zh-CN"/>
        </w:rPr>
      </w:pPr>
      <w:r>
        <w:rPr>
          <w:rFonts w:hint="eastAsia" w:ascii="宋体" w:hAnsi="宋体" w:eastAsia="宋体" w:cs="宋体"/>
          <w:lang w:val="en-US" w:eastAsia="zh-CN"/>
        </w:rPr>
        <w:t>基层</w:t>
      </w:r>
    </w:p>
    <w:tbl>
      <w:tblPr>
        <w:tblStyle w:val="9"/>
        <w:tblW w:w="5864"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920"/>
        <w:gridCol w:w="366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一</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般</w:t>
            </w: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ascii="宋体" w:hAnsi="宋体"/>
                <w:b/>
                <w:kern w:val="2"/>
                <w:szCs w:val="21"/>
              </w:rPr>
            </w:pPr>
            <w:r>
              <w:rPr>
                <w:rFonts w:hint="eastAsia" w:ascii="宋体" w:hAnsi="宋体"/>
                <w:b/>
                <w:kern w:val="2"/>
                <w:szCs w:val="21"/>
              </w:rPr>
              <w:t>目</w:t>
            </w: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1</w:t>
            </w:r>
          </w:p>
        </w:tc>
        <w:tc>
          <w:tcPr>
            <w:tcW w:w="4589"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宽度偏差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restart"/>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2</w:t>
            </w:r>
          </w:p>
        </w:tc>
        <w:tc>
          <w:tcPr>
            <w:tcW w:w="920" w:type="dxa"/>
            <w:vMerge w:val="restart"/>
            <w:tcBorders>
              <w:righ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厚度偏差</w:t>
            </w:r>
          </w:p>
        </w:tc>
        <w:tc>
          <w:tcPr>
            <w:tcW w:w="3669" w:type="dxa"/>
            <w:tcBorders>
              <w:left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砂石 +20mm；</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920" w:type="dxa"/>
            <w:vMerge w:val="continue"/>
            <w:tcBorders>
              <w:right w:val="single" w:color="auto" w:sz="4" w:space="0"/>
            </w:tcBorders>
            <w:noWrap w:val="0"/>
            <w:vAlign w:val="center"/>
          </w:tcPr>
          <w:p>
            <w:pPr>
              <w:topLinePunct/>
              <w:spacing w:before="30" w:after="30" w:line="280" w:lineRule="exact"/>
              <w:jc w:val="center"/>
              <w:rPr>
                <w:rFonts w:hint="eastAsia" w:ascii="宋体" w:hAnsi="宋体"/>
                <w:b/>
                <w:kern w:val="2"/>
                <w:szCs w:val="21"/>
              </w:rPr>
            </w:pPr>
          </w:p>
        </w:tc>
        <w:tc>
          <w:tcPr>
            <w:tcW w:w="3669" w:type="dxa"/>
            <w:tcBorders>
              <w:left w:val="single" w:color="auto" w:sz="4" w:space="0"/>
            </w:tcBorders>
            <w:noWrap w:val="0"/>
            <w:vAlign w:val="center"/>
          </w:tcPr>
          <w:p>
            <w:pPr>
              <w:topLinePunct/>
              <w:spacing w:before="30" w:after="30" w:line="280" w:lineRule="exact"/>
              <w:ind w:firstLine="204" w:firstLineChars="97"/>
              <w:rPr>
                <w:rFonts w:hint="eastAsia" w:ascii="宋体" w:hAnsi="宋体"/>
                <w:b/>
                <w:kern w:val="2"/>
                <w:szCs w:val="21"/>
              </w:rPr>
            </w:pPr>
            <w:r>
              <w:rPr>
                <w:rFonts w:hint="eastAsia" w:ascii="宋体" w:hAnsi="宋体"/>
                <w:b/>
                <w:kern w:val="2"/>
                <w:szCs w:val="21"/>
              </w:rPr>
              <w:t>碎石  ±10%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3</w:t>
            </w:r>
          </w:p>
        </w:tc>
        <w:tc>
          <w:tcPr>
            <w:tcW w:w="4589"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表面平整度  ≤15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4</w:t>
            </w:r>
          </w:p>
        </w:tc>
        <w:tc>
          <w:tcPr>
            <w:tcW w:w="4589"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中线标高偏差  ±20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5</w:t>
            </w:r>
          </w:p>
        </w:tc>
        <w:tc>
          <w:tcPr>
            <w:tcW w:w="4589" w:type="dxa"/>
            <w:gridSpan w:val="2"/>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横坡偏差  ±20</w:t>
            </w:r>
          </w:p>
        </w:tc>
      </w:tr>
    </w:tbl>
    <w:p>
      <w:pPr>
        <w:keepNext w:val="0"/>
        <w:keepLines w:val="0"/>
        <w:pageBreakBefore w:val="0"/>
        <w:kinsoku/>
        <w:wordWrap/>
        <w:overflowPunct/>
        <w:topLinePunct w:val="0"/>
        <w:autoSpaceDE w:val="0"/>
        <w:autoSpaceDN w:val="0"/>
        <w:bidi w:val="0"/>
        <w:adjustRightInd w:val="0"/>
        <w:snapToGrid/>
        <w:spacing w:line="360" w:lineRule="auto"/>
        <w:ind w:firstLine="2730" w:firstLineChars="1300"/>
        <w:rPr>
          <w:rFonts w:hint="eastAsia" w:ascii="宋体" w:hAnsi="宋体" w:eastAsia="宋体" w:cs="宋体"/>
          <w:lang w:val="en-US" w:eastAsia="zh-CN"/>
        </w:rPr>
      </w:pPr>
      <w:r>
        <w:rPr>
          <w:rFonts w:hint="eastAsia" w:ascii="宋体" w:hAnsi="宋体" w:eastAsia="宋体" w:cs="宋体"/>
          <w:lang w:val="en-US" w:eastAsia="zh-CN"/>
        </w:rPr>
        <w:t>面层</w:t>
      </w:r>
    </w:p>
    <w:tbl>
      <w:tblPr>
        <w:tblStyle w:val="9"/>
        <w:tblW w:w="5864" w:type="dxa"/>
        <w:tblInd w:w="-15"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838"/>
        <w:gridCol w:w="437"/>
        <w:gridCol w:w="4589"/>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80" w:hRule="atLeast"/>
        </w:trPr>
        <w:tc>
          <w:tcPr>
            <w:tcW w:w="838" w:type="dxa"/>
            <w:vMerge w:val="restart"/>
            <w:noWrap w:val="0"/>
            <w:vAlign w:val="center"/>
          </w:tcPr>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一</w:t>
            </w:r>
          </w:p>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般</w:t>
            </w:r>
          </w:p>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项</w:t>
            </w:r>
          </w:p>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p>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目</w:t>
            </w:r>
          </w:p>
          <w:p>
            <w:pPr>
              <w:topLinePunct/>
              <w:spacing w:before="30" w:after="30" w:line="280" w:lineRule="exact"/>
              <w:ind w:firstLine="0"/>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1</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灌缝材料</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tcBorders>
              <w:bottom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2</w:t>
            </w:r>
          </w:p>
        </w:tc>
        <w:tc>
          <w:tcPr>
            <w:tcW w:w="4589" w:type="dxa"/>
            <w:tcBorders>
              <w:bottom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路面宽度偏差  ±20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tcBorders>
              <w:top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3</w:t>
            </w:r>
          </w:p>
        </w:tc>
        <w:tc>
          <w:tcPr>
            <w:tcW w:w="4589" w:type="dxa"/>
            <w:tcBorders>
              <w:top w:val="single" w:color="auto" w:sz="4" w:space="0"/>
            </w:tcBorders>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路面平度偏差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4</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纵坡标高偏差  ±10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5</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横坡偏差  ±0.25%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6</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纵缝顺直度  ≤10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7</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横缝顺直度偏差  ≤10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8</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板边垂直度  ±5</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284"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9</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相邻板高低差  ≤3</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50" w:hRule="atLeast"/>
        </w:trPr>
        <w:tc>
          <w:tcPr>
            <w:tcW w:w="838" w:type="dxa"/>
            <w:vMerge w:val="continue"/>
            <w:noWrap w:val="0"/>
            <w:vAlign w:val="center"/>
          </w:tcPr>
          <w:p>
            <w:pPr>
              <w:topLinePunct/>
              <w:spacing w:before="30" w:after="30" w:line="280" w:lineRule="exact"/>
              <w:ind w:firstLine="0"/>
              <w:jc w:val="center"/>
              <w:rPr>
                <w:rFonts w:hint="eastAsia" w:ascii="宋体" w:hAnsi="宋体"/>
                <w:b/>
                <w:kern w:val="2"/>
                <w:szCs w:val="21"/>
              </w:rPr>
            </w:pPr>
          </w:p>
        </w:tc>
        <w:tc>
          <w:tcPr>
            <w:tcW w:w="437"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10</w:t>
            </w:r>
          </w:p>
        </w:tc>
        <w:tc>
          <w:tcPr>
            <w:tcW w:w="4589" w:type="dxa"/>
            <w:noWrap w:val="0"/>
            <w:vAlign w:val="center"/>
          </w:tcPr>
          <w:p>
            <w:pPr>
              <w:topLinePunct/>
              <w:spacing w:before="30" w:after="30" w:line="280" w:lineRule="exact"/>
              <w:ind w:firstLine="0"/>
              <w:jc w:val="center"/>
              <w:rPr>
                <w:rFonts w:hint="eastAsia" w:ascii="宋体" w:hAnsi="宋体"/>
                <w:b/>
                <w:kern w:val="2"/>
                <w:szCs w:val="21"/>
              </w:rPr>
            </w:pPr>
            <w:r>
              <w:rPr>
                <w:rFonts w:hint="eastAsia" w:ascii="宋体" w:hAnsi="宋体"/>
                <w:b/>
                <w:kern w:val="2"/>
                <w:szCs w:val="21"/>
              </w:rPr>
              <w:t>井框与路面高差  ≤3</w:t>
            </w:r>
          </w:p>
        </w:tc>
      </w:tr>
    </w:tbl>
    <w:p>
      <w:pPr>
        <w:keepNext w:val="0"/>
        <w:keepLines w:val="0"/>
        <w:pageBreakBefore w:val="0"/>
        <w:kinsoku/>
        <w:wordWrap/>
        <w:overflowPunct/>
        <w:topLinePunct w:val="0"/>
        <w:autoSpaceDE w:val="0"/>
        <w:autoSpaceDN w:val="0"/>
        <w:bidi w:val="0"/>
        <w:adjustRightInd w:val="0"/>
        <w:snapToGrid/>
        <w:spacing w:line="360" w:lineRule="auto"/>
        <w:rPr>
          <w:rFonts w:hint="default" w:ascii="宋体" w:hAnsi="宋体" w:eastAsia="宋体" w:cs="宋体"/>
          <w:lang w:val="en-US" w:eastAsia="zh-CN"/>
        </w:rPr>
      </w:pP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lang w:val="zh-CN"/>
        </w:rPr>
      </w:pPr>
      <w:r>
        <w:rPr>
          <w:rFonts w:hint="eastAsia" w:ascii="宋体" w:hAnsi="宋体" w:eastAsia="宋体" w:cs="宋体"/>
          <w:lang w:val="zh-CN"/>
        </w:rPr>
        <w:t>2.</w:t>
      </w:r>
      <w:r>
        <w:rPr>
          <w:rFonts w:hint="eastAsia" w:ascii="宋体" w:hAnsi="宋体" w:eastAsia="宋体" w:cs="宋体"/>
        </w:rPr>
        <w:t>5</w:t>
      </w:r>
      <w:r>
        <w:rPr>
          <w:rFonts w:hint="eastAsia" w:ascii="宋体" w:hAnsi="宋体" w:eastAsia="宋体" w:cs="宋体"/>
          <w:lang w:val="zh-CN"/>
        </w:rPr>
        <w:t>安全目标</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b/>
          <w:bCs/>
          <w:lang w:val="zh-CN"/>
        </w:rPr>
      </w:pPr>
      <w:r>
        <w:rPr>
          <w:rFonts w:hint="eastAsia" w:ascii="宋体" w:hAnsi="宋体" w:eastAsia="宋体" w:cs="宋体"/>
        </w:rPr>
        <w:t xml:space="preserve">    </w:t>
      </w:r>
      <w:r>
        <w:rPr>
          <w:rFonts w:hint="eastAsia" w:ascii="宋体" w:hAnsi="宋体" w:eastAsia="宋体" w:cs="宋体"/>
          <w:highlight w:val="yellow"/>
          <w:lang w:val="zh-CN"/>
        </w:rPr>
        <w:t>杜绝人身重伤及以上事故，施工机械、及设备损坏事故，重大火灾等事故。</w:t>
      </w:r>
    </w:p>
    <w:p>
      <w:pPr>
        <w:keepNext w:val="0"/>
        <w:keepLines w:val="0"/>
        <w:pageBreakBefore w:val="0"/>
        <w:kinsoku/>
        <w:wordWrap/>
        <w:overflowPunct/>
        <w:topLinePunct w:val="0"/>
        <w:autoSpaceDE w:val="0"/>
        <w:autoSpaceDN w:val="0"/>
        <w:bidi w:val="0"/>
        <w:adjustRightInd w:val="0"/>
        <w:snapToGrid/>
        <w:spacing w:line="360" w:lineRule="auto"/>
        <w:rPr>
          <w:rFonts w:hint="eastAsia" w:ascii="宋体" w:hAnsi="宋体" w:eastAsia="宋体" w:cs="宋体"/>
          <w:kern w:val="0"/>
        </w:rPr>
      </w:pPr>
      <w:r>
        <w:rPr>
          <w:rFonts w:hint="eastAsia" w:ascii="宋体" w:hAnsi="宋体" w:eastAsia="宋体" w:cs="宋体"/>
          <w:lang w:val="zh-CN"/>
        </w:rPr>
        <w:t>2.</w:t>
      </w:r>
      <w:r>
        <w:rPr>
          <w:rFonts w:hint="eastAsia" w:ascii="宋体" w:hAnsi="宋体" w:eastAsia="宋体" w:cs="宋体"/>
        </w:rPr>
        <w:t>6</w:t>
      </w:r>
      <w:r>
        <w:rPr>
          <w:rFonts w:hint="eastAsia" w:ascii="宋体" w:hAnsi="宋体" w:eastAsia="宋体" w:cs="宋体"/>
          <w:kern w:val="0"/>
        </w:rPr>
        <w:t>工期要求、质量目标及安全目标：</w:t>
      </w:r>
    </w:p>
    <w:p>
      <w:pPr>
        <w:adjustRightInd w:val="0"/>
        <w:snapToGrid w:val="0"/>
        <w:spacing w:line="360" w:lineRule="auto"/>
        <w:ind w:firstLine="420" w:firstLineChars="200"/>
        <w:textAlignment w:val="baseline"/>
        <w:rPr>
          <w:rFonts w:hint="eastAsia" w:ascii="宋体" w:hAnsi="宋体" w:cs="宋体"/>
          <w:kern w:val="0"/>
          <w:highlight w:val="yellow"/>
        </w:rPr>
      </w:pPr>
      <w:r>
        <w:rPr>
          <w:rFonts w:hint="eastAsia" w:ascii="宋体" w:hAnsi="宋体" w:cs="宋体"/>
          <w:kern w:val="0"/>
          <w:highlight w:val="none"/>
        </w:rPr>
        <w:t>工期要求：</w:t>
      </w:r>
      <w:r>
        <w:rPr>
          <w:rFonts w:hint="eastAsia" w:ascii="宋体" w:hAnsi="宋体" w:cs="宋体"/>
          <w:color w:val="000000"/>
          <w:highlight w:val="yellow"/>
          <w:shd w:val="clear" w:color="auto" w:fill="FFFFFF"/>
        </w:rPr>
        <w:t>20</w:t>
      </w:r>
      <w:r>
        <w:rPr>
          <w:rFonts w:hint="eastAsia" w:ascii="宋体" w:hAnsi="宋体" w:cs="宋体"/>
          <w:color w:val="000000"/>
          <w:highlight w:val="yellow"/>
          <w:shd w:val="clear" w:color="auto" w:fill="FFFFFF"/>
          <w:lang w:val="en-US" w:eastAsia="zh-CN"/>
        </w:rPr>
        <w:t>22</w:t>
      </w:r>
      <w:r>
        <w:rPr>
          <w:rFonts w:hint="eastAsia" w:ascii="宋体" w:hAnsi="宋体" w:cs="宋体"/>
          <w:color w:val="000000"/>
          <w:highlight w:val="yellow"/>
          <w:shd w:val="clear" w:color="auto" w:fill="FFFFFF"/>
        </w:rPr>
        <w:t>年</w:t>
      </w:r>
      <w:r>
        <w:rPr>
          <w:rFonts w:hint="eastAsia" w:ascii="宋体" w:hAnsi="宋体" w:cs="宋体"/>
          <w:color w:val="000000"/>
          <w:highlight w:val="yellow"/>
          <w:shd w:val="clear" w:color="auto" w:fill="FFFFFF"/>
          <w:lang w:val="en-US" w:eastAsia="zh-CN"/>
        </w:rPr>
        <w:t>9</w:t>
      </w:r>
      <w:r>
        <w:rPr>
          <w:rFonts w:hint="eastAsia" w:ascii="宋体" w:hAnsi="宋体" w:cs="宋体"/>
          <w:color w:val="000000"/>
          <w:highlight w:val="yellow"/>
          <w:shd w:val="clear" w:color="auto" w:fill="FFFFFF"/>
        </w:rPr>
        <w:t>月</w:t>
      </w:r>
      <w:r>
        <w:rPr>
          <w:rFonts w:hint="eastAsia" w:ascii="宋体" w:hAnsi="宋体" w:cs="宋体"/>
          <w:color w:val="000000"/>
          <w:highlight w:val="yellow"/>
          <w:shd w:val="clear" w:color="auto" w:fill="FFFFFF"/>
          <w:lang w:val="en-US" w:eastAsia="zh-CN"/>
        </w:rPr>
        <w:t>30</w:t>
      </w:r>
      <w:r>
        <w:rPr>
          <w:rFonts w:hint="eastAsia" w:ascii="宋体" w:hAnsi="宋体" w:cs="宋体"/>
          <w:color w:val="000000"/>
          <w:highlight w:val="yellow"/>
          <w:shd w:val="clear" w:color="auto" w:fill="FFFFFF"/>
        </w:rPr>
        <w:t>日</w:t>
      </w:r>
      <w:r>
        <w:rPr>
          <w:rFonts w:hint="eastAsia" w:ascii="宋体" w:hAnsi="宋体" w:cs="宋体"/>
          <w:color w:val="000000"/>
          <w:highlight w:val="yellow"/>
          <w:shd w:val="clear" w:color="auto" w:fill="FFFFFF"/>
          <w:lang w:val="en-US" w:eastAsia="zh-CN"/>
        </w:rPr>
        <w:t>前</w:t>
      </w:r>
      <w:r>
        <w:rPr>
          <w:rFonts w:hint="eastAsia" w:ascii="宋体" w:hAnsi="宋体" w:cs="宋体"/>
          <w:color w:val="000000"/>
          <w:highlight w:val="yellow"/>
          <w:shd w:val="clear" w:color="auto" w:fill="FFFFFF"/>
        </w:rPr>
        <w:t>完成</w:t>
      </w:r>
      <w:r>
        <w:rPr>
          <w:rFonts w:hint="eastAsia" w:ascii="宋体" w:hAnsi="宋体" w:cs="宋体"/>
          <w:highlight w:val="yellow"/>
        </w:rPr>
        <w:t>完</w:t>
      </w:r>
      <w:r>
        <w:rPr>
          <w:rFonts w:hint="eastAsia" w:ascii="宋体" w:hAnsi="宋体" w:cs="宋体"/>
          <w:b w:val="0"/>
          <w:bCs w:val="0"/>
          <w:highlight w:val="yellow"/>
        </w:rPr>
        <w:t>成全部</w:t>
      </w:r>
      <w:r>
        <w:rPr>
          <w:rFonts w:hint="eastAsia" w:ascii="宋体" w:hAnsi="宋体" w:eastAsia="宋体" w:cs="宋体"/>
          <w:b w:val="0"/>
          <w:bCs w:val="0"/>
          <w:sz w:val="21"/>
          <w:szCs w:val="21"/>
          <w:highlight w:val="yellow"/>
          <w:lang w:val="en-US" w:eastAsia="zh-CN"/>
        </w:rPr>
        <w:t>工程施工，</w:t>
      </w:r>
      <w:r>
        <w:rPr>
          <w:rFonts w:hint="eastAsia" w:ascii="宋体" w:hAnsi="宋体" w:cs="宋体"/>
          <w:color w:val="000000"/>
          <w:highlight w:val="yellow"/>
          <w:shd w:val="clear" w:color="auto" w:fill="FFFFFF"/>
          <w:lang w:val="en-US" w:eastAsia="zh-CN"/>
        </w:rPr>
        <w:t>各单位工程工期根据现场实际情况确定，以建设单位项目部总工期为基准上报三级网络计划，建设单位项目部审核批准后执行</w:t>
      </w:r>
      <w:r>
        <w:rPr>
          <w:rFonts w:hint="eastAsia" w:ascii="宋体" w:hAnsi="宋体" w:cs="宋体"/>
          <w:color w:val="000000"/>
          <w:highlight w:val="yellow"/>
          <w:shd w:val="clear" w:color="auto" w:fill="FFFFFF"/>
        </w:rPr>
        <w:t>。</w:t>
      </w:r>
      <w:r>
        <w:rPr>
          <w:rFonts w:hint="eastAsia" w:ascii="宋体" w:hAnsi="宋体" w:cs="宋体"/>
          <w:highlight w:val="yellow"/>
        </w:rPr>
        <w:t xml:space="preserve"> </w:t>
      </w:r>
    </w:p>
    <w:p>
      <w:pPr>
        <w:keepNext w:val="0"/>
        <w:keepLines w:val="0"/>
        <w:pageBreakBefore w:val="0"/>
        <w:widowControl/>
        <w:shd w:val="clear" w:color="auto" w:fill="FFFFFF"/>
        <w:kinsoku/>
        <w:wordWrap/>
        <w:overflowPunct/>
        <w:topLinePunct w:val="0"/>
        <w:bidi w:val="0"/>
        <w:adjustRightInd w:val="0"/>
        <w:snapToGrid/>
        <w:spacing w:line="360" w:lineRule="auto"/>
        <w:ind w:firstLine="420" w:firstLineChars="200"/>
        <w:textAlignment w:val="baseline"/>
        <w:rPr>
          <w:rFonts w:hint="eastAsia" w:ascii="宋体" w:hAnsi="宋体" w:cs="宋体"/>
        </w:rPr>
      </w:pPr>
      <w:r>
        <w:rPr>
          <w:rFonts w:hint="eastAsia" w:ascii="宋体" w:hAnsi="宋体" w:cs="宋体"/>
        </w:rPr>
        <w:t>质量目标：分项工程合格率100%，分</w:t>
      </w:r>
      <w:r>
        <w:rPr>
          <w:rFonts w:hint="eastAsia" w:ascii="宋体" w:hAnsi="宋体" w:cs="宋体"/>
          <w:lang w:val="en-US" w:eastAsia="zh-CN"/>
        </w:rPr>
        <w:t>部</w:t>
      </w:r>
      <w:r>
        <w:rPr>
          <w:rFonts w:hint="eastAsia" w:ascii="宋体" w:hAnsi="宋体" w:cs="宋体"/>
        </w:rPr>
        <w:t>工程合格率100%</w:t>
      </w:r>
      <w:r>
        <w:rPr>
          <w:rFonts w:hint="eastAsia" w:ascii="宋体" w:hAnsi="宋体" w:cs="宋体"/>
          <w:lang w:eastAsia="zh-CN"/>
        </w:rPr>
        <w:t>，</w:t>
      </w:r>
      <w:r>
        <w:rPr>
          <w:rFonts w:hint="eastAsia" w:ascii="宋体" w:hAnsi="宋体" w:cs="宋体"/>
        </w:rPr>
        <w:t xml:space="preserve">单位工程优良率100%，达标投产。 </w:t>
      </w:r>
    </w:p>
    <w:p>
      <w:pPr>
        <w:keepNext w:val="0"/>
        <w:keepLines w:val="0"/>
        <w:pageBreakBefore w:val="0"/>
        <w:kinsoku/>
        <w:wordWrap/>
        <w:overflowPunct/>
        <w:topLinePunct w:val="0"/>
        <w:autoSpaceDE w:val="0"/>
        <w:autoSpaceDN w:val="0"/>
        <w:bidi w:val="0"/>
        <w:adjustRightInd w:val="0"/>
        <w:snapToGrid/>
        <w:spacing w:line="360" w:lineRule="auto"/>
        <w:ind w:firstLine="420"/>
        <w:rPr>
          <w:rFonts w:hint="eastAsia" w:ascii="宋体" w:hAnsi="宋体" w:cs="宋体"/>
          <w:kern w:val="0"/>
          <w:lang w:val="zh-CN"/>
        </w:rPr>
      </w:pPr>
      <w:r>
        <w:rPr>
          <w:rFonts w:hint="eastAsia" w:ascii="宋体" w:hAnsi="宋体" w:cs="宋体"/>
          <w:kern w:val="0"/>
        </w:rPr>
        <w:t>安全目标：必须达到国家规定的电力建设安全目标和</w:t>
      </w:r>
      <w:r>
        <w:rPr>
          <w:rFonts w:hint="eastAsia" w:ascii="宋体" w:hAnsi="宋体" w:cs="宋体"/>
          <w:kern w:val="0"/>
          <w:lang w:val="en-US" w:eastAsia="zh-CN"/>
        </w:rPr>
        <w:t>九洲</w:t>
      </w:r>
      <w:r>
        <w:rPr>
          <w:rFonts w:hint="eastAsia" w:ascii="宋体" w:hAnsi="宋体" w:cs="宋体"/>
          <w:kern w:val="0"/>
        </w:rPr>
        <w:t>集团公司及项目法人规定的有关安全管理要求。</w:t>
      </w:r>
    </w:p>
    <w:p>
      <w:pPr>
        <w:pStyle w:val="4"/>
        <w:keepNext w:val="0"/>
        <w:keepLines w:val="0"/>
        <w:widowControl/>
        <w:numPr>
          <w:ilvl w:val="0"/>
          <w:numId w:val="2"/>
        </w:numPr>
        <w:snapToGrid w:val="0"/>
        <w:spacing w:before="0" w:line="360" w:lineRule="auto"/>
        <w:jc w:val="left"/>
        <w:rPr>
          <w:rFonts w:hint="eastAsia" w:ascii="宋体" w:hAnsi="宋体" w:cs="宋体"/>
          <w:sz w:val="21"/>
          <w:lang w:val="zh-CN"/>
        </w:rPr>
      </w:pPr>
      <w:bookmarkStart w:id="3" w:name="_Toc8825"/>
      <w:r>
        <w:rPr>
          <w:rFonts w:hint="eastAsia" w:ascii="宋体" w:hAnsi="宋体" w:cs="宋体"/>
          <w:sz w:val="21"/>
          <w:lang w:val="zh-CN"/>
        </w:rPr>
        <w:t>招标范围</w:t>
      </w:r>
      <w:bookmarkEnd w:id="3"/>
    </w:p>
    <w:p>
      <w:pPr>
        <w:snapToGrid w:val="0"/>
        <w:spacing w:line="360" w:lineRule="auto"/>
        <w:ind w:firstLine="420" w:firstLineChars="200"/>
        <w:rPr>
          <w:rFonts w:hint="default" w:ascii="宋体" w:hAnsi="宋体" w:cs="宋体"/>
          <w:bCs/>
          <w:color w:val="auto"/>
          <w:highlight w:val="yellow"/>
          <w:lang w:val="en-US" w:eastAsia="zh-CN"/>
        </w:rPr>
      </w:pPr>
      <w:r>
        <w:rPr>
          <w:rFonts w:hint="eastAsia" w:ascii="宋体" w:hAnsi="宋体" w:cs="宋体"/>
          <w:bCs/>
          <w:color w:val="auto"/>
          <w:highlight w:val="yellow"/>
        </w:rPr>
        <w:t>招标范围：</w:t>
      </w:r>
      <w:r>
        <w:rPr>
          <w:rFonts w:hint="eastAsia" w:ascii="宋体" w:hAnsi="宋体" w:cs="宋体"/>
          <w:bCs/>
          <w:color w:val="auto"/>
          <w:highlight w:val="yellow"/>
          <w:lang w:val="en-US" w:eastAsia="zh-CN"/>
        </w:rPr>
        <w:t>1、</w:t>
      </w:r>
      <w:r>
        <w:rPr>
          <w:rFonts w:hint="eastAsia" w:ascii="宋体" w:hAnsi="宋体" w:eastAsia="宋体" w:cs="宋体"/>
          <w:b w:val="0"/>
          <w:bCs w:val="0"/>
          <w:sz w:val="21"/>
          <w:szCs w:val="21"/>
          <w:highlight w:val="yellow"/>
          <w:lang w:val="en-US" w:eastAsia="zh-CN"/>
        </w:rPr>
        <w:t>沥青混凝土道路、普通混凝土道路、干料棚钢筋混凝土地面、无钢筋混凝土地面、人行步道砖路面工程、路缘石（含倒角）、雨排水井（含雨水篦子）。</w:t>
      </w:r>
      <w:r>
        <w:rPr>
          <w:rFonts w:hint="eastAsia" w:ascii="宋体" w:hAnsi="宋体" w:cs="宋体"/>
          <w:bCs/>
          <w:highlight w:val="yellow"/>
          <w:lang w:val="en-US" w:eastAsia="zh-CN"/>
        </w:rPr>
        <w:t>包含但不仅限于图纸内的全部工程。例如：土方开挖回填、基层、面层、排水沟等及建设单位临时指派在内的全部工程。具体招标工程量详见图纸。</w:t>
      </w:r>
    </w:p>
    <w:p>
      <w:pPr>
        <w:numPr>
          <w:ilvl w:val="0"/>
          <w:numId w:val="0"/>
        </w:numPr>
        <w:snapToGrid w:val="0"/>
        <w:spacing w:line="360" w:lineRule="auto"/>
        <w:ind w:leftChars="500" w:firstLine="420" w:firstLineChars="200"/>
        <w:rPr>
          <w:rFonts w:hint="default" w:ascii="宋体" w:hAnsi="宋体" w:eastAsia="宋体" w:cs="宋体"/>
          <w:bCs/>
          <w:highlight w:val="yellow"/>
          <w:lang w:val="en-US" w:eastAsia="zh-CN"/>
        </w:rPr>
      </w:pPr>
      <w:r>
        <w:rPr>
          <w:rFonts w:hint="eastAsia" w:ascii="宋体" w:hAnsi="宋体" w:eastAsia="宋体" w:cs="宋体"/>
          <w:bCs/>
          <w:highlight w:val="yellow"/>
          <w:lang w:val="en-US" w:eastAsia="zh-CN"/>
        </w:rPr>
        <w:t>2、</w:t>
      </w:r>
      <w:r>
        <w:rPr>
          <w:rFonts w:hint="default" w:ascii="宋体" w:hAnsi="宋体" w:eastAsia="宋体" w:cs="宋体"/>
          <w:bCs/>
          <w:highlight w:val="yellow"/>
          <w:lang w:val="en-US" w:eastAsia="zh-CN"/>
        </w:rPr>
        <w:t>施工工艺</w:t>
      </w:r>
      <w:r>
        <w:rPr>
          <w:rFonts w:hint="eastAsia" w:ascii="宋体" w:hAnsi="宋体" w:eastAsia="宋体" w:cs="宋体"/>
          <w:bCs/>
          <w:highlight w:val="yellow"/>
          <w:lang w:val="en-US" w:eastAsia="zh-CN"/>
        </w:rPr>
        <w:t>：</w:t>
      </w:r>
      <w:r>
        <w:rPr>
          <w:rFonts w:hint="eastAsia" w:ascii="宋体" w:hAnsi="宋体" w:eastAsia="宋体" w:cs="宋体"/>
          <w:bCs/>
          <w:highlight w:val="none"/>
          <w:lang w:val="en-US" w:eastAsia="zh-CN"/>
        </w:rPr>
        <w:t xml:space="preserve">    </w:t>
      </w:r>
      <w:r>
        <w:rPr>
          <w:rFonts w:hint="default" w:ascii="宋体" w:hAnsi="宋体" w:eastAsia="宋体" w:cs="宋体"/>
          <w:bCs/>
          <w:highlight w:val="none"/>
          <w:lang w:val="en-US" w:eastAsia="zh-CN"/>
        </w:rPr>
        <w:t> </w:t>
      </w:r>
    </w:p>
    <w:p>
      <w:pPr>
        <w:numPr>
          <w:ilvl w:val="0"/>
          <w:numId w:val="0"/>
        </w:numPr>
        <w:snapToGrid w:val="0"/>
        <w:spacing w:line="360" w:lineRule="auto"/>
        <w:ind w:left="1050" w:leftChars="500" w:firstLine="0" w:firstLineChars="0"/>
        <w:rPr>
          <w:rFonts w:hint="eastAsia" w:ascii="宋体" w:hAnsi="宋体" w:cs="宋体"/>
          <w:bCs/>
          <w:highlight w:val="yellow"/>
          <w:lang w:val="en-US" w:eastAsia="zh-CN"/>
        </w:rPr>
      </w:pPr>
      <w:r>
        <w:rPr>
          <w:rFonts w:hint="eastAsia" w:ascii="宋体" w:hAnsi="宋体" w:cs="宋体"/>
          <w:bCs/>
          <w:highlight w:val="yellow"/>
          <w:lang w:val="en-US" w:eastAsia="zh-CN"/>
        </w:rPr>
        <w:t>1、</w:t>
      </w:r>
      <w:r>
        <w:rPr>
          <w:rFonts w:hint="eastAsia" w:ascii="宋体" w:hAnsi="宋体" w:cs="宋体"/>
          <w:bCs/>
          <w:highlight w:val="yellow"/>
        </w:rPr>
        <w:t>为保证建设质量和投运后的安全稳定运行，承包商负责采购的材料应选用质优产品。</w:t>
      </w:r>
      <w:r>
        <w:rPr>
          <w:rFonts w:hint="eastAsia" w:ascii="宋体" w:hAnsi="宋体" w:cs="宋体"/>
          <w:bCs/>
          <w:highlight w:val="yellow"/>
          <w:lang w:val="en-US" w:eastAsia="zh-CN"/>
        </w:rPr>
        <w:t>2、施工工艺采用国家标准施工工艺，如各投标单位有更科学，更新型的施工工艺，可在投标时在技术标中详细阐述，。</w:t>
      </w:r>
    </w:p>
    <w:p>
      <w:pPr>
        <w:numPr>
          <w:ilvl w:val="0"/>
          <w:numId w:val="0"/>
        </w:numPr>
        <w:snapToGrid w:val="0"/>
        <w:spacing w:line="360" w:lineRule="auto"/>
        <w:ind w:leftChars="500" w:firstLine="420" w:firstLineChars="200"/>
        <w:rPr>
          <w:rFonts w:hint="default" w:ascii="宋体" w:hAnsi="宋体" w:cs="宋体"/>
          <w:bCs/>
          <w:highlight w:val="yellow"/>
          <w:lang w:val="en-US" w:eastAsia="zh-CN"/>
        </w:rPr>
      </w:pPr>
      <w:r>
        <w:rPr>
          <w:rFonts w:hint="eastAsia" w:ascii="宋体" w:hAnsi="宋体" w:cs="宋体"/>
          <w:bCs/>
          <w:highlight w:val="yellow"/>
          <w:lang w:val="en-US" w:eastAsia="zh-CN"/>
        </w:rPr>
        <w:t>3、技术指标：</w:t>
      </w:r>
    </w:p>
    <w:p>
      <w:pPr>
        <w:numPr>
          <w:ilvl w:val="0"/>
          <w:numId w:val="0"/>
        </w:numPr>
        <w:snapToGrid w:val="0"/>
        <w:spacing w:line="360" w:lineRule="auto"/>
        <w:ind w:leftChars="500" w:firstLine="630" w:firstLineChars="300"/>
        <w:rPr>
          <w:rFonts w:hint="default" w:eastAsia="宋体"/>
          <w:highlight w:val="yellow"/>
          <w:lang w:val="en-US" w:eastAsia="zh-CN"/>
        </w:rPr>
      </w:pPr>
      <w:r>
        <w:rPr>
          <w:rFonts w:hint="eastAsia" w:ascii="宋体" w:hAnsi="宋体" w:cs="宋体"/>
          <w:bCs/>
          <w:highlight w:val="yellow"/>
          <w:lang w:val="en-US" w:eastAsia="zh-CN"/>
        </w:rPr>
        <w:t>详见图纸。</w:t>
      </w:r>
    </w:p>
    <w:p>
      <w:pPr>
        <w:pStyle w:val="4"/>
        <w:bidi w:val="0"/>
        <w:rPr>
          <w:rFonts w:hint="eastAsia"/>
        </w:rPr>
      </w:pPr>
      <w:bookmarkStart w:id="4" w:name="_Toc20539"/>
      <w:r>
        <w:rPr>
          <w:rFonts w:hint="eastAsia"/>
        </w:rPr>
        <w:t>4. 投标人资格及要求</w:t>
      </w:r>
      <w:bookmarkEnd w:id="4"/>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rPr>
      </w:pPr>
      <w:r>
        <w:rPr>
          <w:rFonts w:hint="eastAsia"/>
        </w:rPr>
        <w:t>本次招标采用公开招标、资格后审，要求投标人的投标文件中必须包含资格审查文件，投标截止时间前请投标人递交所有投标文件（包括报价、保证金及要求的电子版等），开标时技术商务及报价标一同开启。开标后首先进行资格后审，未通过资格后审的投标人将不能进入详评阶段。投标人在投标文件中提供的所有资质文件必须真实有效，保证合同执行期间有关证件、文件处于有效期。一旦发现虚假文件或内容，无论多么微小，将取消其投标资格。具体投标人资格以招标公告中的资格后审条件为准（凡不满足招标公告中任一资格后审条件的，均为不合格投标人）</w:t>
      </w:r>
    </w:p>
    <w:p>
      <w:pPr>
        <w:pStyle w:val="7"/>
        <w:shd w:val="clear" w:color="auto" w:fill="FFFFFF"/>
        <w:spacing w:before="0" w:beforeAutospacing="0" w:after="0" w:afterAutospacing="0" w:line="360" w:lineRule="auto"/>
        <w:ind w:firstLine="420" w:firstLineChars="200"/>
        <w:jc w:val="both"/>
        <w:rPr>
          <w:rFonts w:hint="eastAsia"/>
          <w:sz w:val="21"/>
          <w:szCs w:val="21"/>
        </w:rPr>
      </w:pPr>
      <w:r>
        <w:rPr>
          <w:rFonts w:hint="eastAsia"/>
          <w:sz w:val="21"/>
          <w:szCs w:val="21"/>
        </w:rPr>
        <w:t>1、</w:t>
      </w:r>
      <w:r>
        <w:rPr>
          <w:rFonts w:hint="eastAsia"/>
          <w:sz w:val="21"/>
          <w:szCs w:val="21"/>
          <w:lang w:val="en-US" w:eastAsia="zh-CN"/>
        </w:rPr>
        <w:t>投标</w:t>
      </w:r>
      <w:r>
        <w:rPr>
          <w:rFonts w:hint="eastAsia"/>
          <w:sz w:val="21"/>
          <w:szCs w:val="21"/>
        </w:rPr>
        <w:t>人向发包人承诺按照法律规定及合同约定组织完成本工程施工，确保工程质量和安全，并在质量缺陷保修期内承担相应的工程维修责任，并履行本合同书约定的全部义务。</w:t>
      </w:r>
    </w:p>
    <w:p>
      <w:pPr>
        <w:autoSpaceDE w:val="0"/>
        <w:autoSpaceDN w:val="0"/>
        <w:adjustRightInd w:val="0"/>
        <w:spacing w:line="360" w:lineRule="auto"/>
        <w:ind w:firstLine="525" w:firstLineChars="250"/>
        <w:rPr>
          <w:rFonts w:hint="eastAsia" w:ascii="宋体" w:hAnsi="宋体" w:cs="宋体"/>
          <w:kern w:val="0"/>
          <w:highlight w:val="red"/>
        </w:rPr>
      </w:pPr>
      <w:r>
        <w:rPr>
          <w:rFonts w:hint="eastAsia" w:ascii="宋体" w:hAnsi="宋体" w:cs="宋体"/>
          <w:kern w:val="0"/>
          <w:highlight w:val="red"/>
        </w:rPr>
        <w:t>2、本合同内所有类型的混凝土均必须采用合格的，有国家及地方颁布的合格资质的商品混凝土供应商所提供的商品混凝土，坚决不允许现场自行搅拌；</w:t>
      </w:r>
    </w:p>
    <w:p>
      <w:pPr>
        <w:autoSpaceDE w:val="0"/>
        <w:autoSpaceDN w:val="0"/>
        <w:adjustRightInd w:val="0"/>
        <w:spacing w:line="360" w:lineRule="auto"/>
        <w:ind w:firstLine="525" w:firstLineChars="250"/>
        <w:rPr>
          <w:rFonts w:hint="eastAsia" w:ascii="宋体" w:hAnsi="宋体" w:cs="宋体"/>
          <w:kern w:val="0"/>
          <w:highlight w:val="red"/>
        </w:rPr>
      </w:pPr>
      <w:r>
        <w:rPr>
          <w:rFonts w:hint="eastAsia" w:ascii="宋体" w:hAnsi="宋体" w:cs="宋体"/>
          <w:kern w:val="0"/>
          <w:highlight w:val="red"/>
        </w:rPr>
        <w:t>3、所有施工区域内基层下，大部分为回填土，基层下均埋设各类管线，承包方必须按设计要求进行夯实，夯实结果必须经过第三方检测单位出具合格有效的检测报告，夯实满足设计要求后方可进行基层施工。夯实所产生的费用</w:t>
      </w:r>
      <w:r>
        <w:rPr>
          <w:rFonts w:hint="eastAsia" w:ascii="宋体" w:hAnsi="宋体" w:cs="宋体"/>
          <w:kern w:val="0"/>
          <w:highlight w:val="red"/>
          <w:lang w:val="en-US" w:eastAsia="zh-CN"/>
        </w:rPr>
        <w:t>招标单位</w:t>
      </w:r>
      <w:r>
        <w:rPr>
          <w:rFonts w:hint="eastAsia" w:ascii="宋体" w:hAnsi="宋体" w:cs="宋体"/>
          <w:kern w:val="0"/>
          <w:highlight w:val="red"/>
        </w:rPr>
        <w:t>不予承担，检测费用</w:t>
      </w:r>
      <w:r>
        <w:rPr>
          <w:rFonts w:hint="eastAsia" w:ascii="宋体" w:hAnsi="宋体" w:cs="宋体"/>
          <w:kern w:val="0"/>
          <w:highlight w:val="red"/>
          <w:lang w:val="en-US" w:eastAsia="zh-CN"/>
        </w:rPr>
        <w:t>招标单位</w:t>
      </w:r>
      <w:r>
        <w:rPr>
          <w:rFonts w:hint="eastAsia" w:ascii="宋体" w:hAnsi="宋体" w:cs="宋体"/>
          <w:kern w:val="0"/>
          <w:highlight w:val="red"/>
        </w:rPr>
        <w:t>不予承担。</w:t>
      </w:r>
    </w:p>
    <w:p>
      <w:pPr>
        <w:autoSpaceDE w:val="0"/>
        <w:autoSpaceDN w:val="0"/>
        <w:adjustRightInd w:val="0"/>
        <w:spacing w:line="360" w:lineRule="auto"/>
        <w:ind w:firstLine="525" w:firstLineChars="250"/>
        <w:rPr>
          <w:rFonts w:hint="eastAsia" w:ascii="宋体" w:hAnsi="宋体" w:cs="宋体"/>
          <w:kern w:val="0"/>
        </w:rPr>
      </w:pPr>
      <w:r>
        <w:rPr>
          <w:rFonts w:hint="eastAsia" w:ascii="宋体" w:hAnsi="宋体" w:cs="宋体"/>
          <w:kern w:val="0"/>
        </w:rPr>
        <w:t>4、所有施工区域内，</w:t>
      </w:r>
      <w:r>
        <w:rPr>
          <w:rFonts w:hint="eastAsia" w:ascii="宋体" w:hAnsi="宋体" w:cs="宋体"/>
          <w:kern w:val="0"/>
          <w:highlight w:val="red"/>
          <w:lang w:val="en-US" w:eastAsia="zh-CN"/>
        </w:rPr>
        <w:t>招标单位</w:t>
      </w:r>
      <w:r>
        <w:rPr>
          <w:rFonts w:hint="eastAsia" w:ascii="宋体" w:hAnsi="宋体" w:cs="宋体"/>
          <w:kern w:val="0"/>
          <w:highlight w:val="yellow"/>
        </w:rPr>
        <w:t>交付</w:t>
      </w:r>
      <w:r>
        <w:rPr>
          <w:rFonts w:hint="eastAsia" w:ascii="宋体" w:hAnsi="宋体" w:cs="宋体"/>
          <w:kern w:val="0"/>
          <w:highlight w:val="yellow"/>
          <w:lang w:val="en-US" w:eastAsia="zh-CN"/>
        </w:rPr>
        <w:t>投标单位</w:t>
      </w:r>
      <w:r>
        <w:rPr>
          <w:rFonts w:hint="eastAsia" w:ascii="宋体" w:hAnsi="宋体" w:cs="宋体"/>
          <w:kern w:val="0"/>
          <w:highlight w:val="yellow"/>
        </w:rPr>
        <w:t>时现场实际场地原始地坪标高是多少就为多少</w:t>
      </w:r>
      <w:r>
        <w:rPr>
          <w:rFonts w:hint="eastAsia" w:ascii="宋体" w:hAnsi="宋体" w:cs="宋体"/>
          <w:kern w:val="0"/>
        </w:rPr>
        <w:t>，</w:t>
      </w:r>
      <w:r>
        <w:rPr>
          <w:rFonts w:hint="eastAsia" w:ascii="宋体" w:hAnsi="宋体" w:cs="宋体"/>
          <w:kern w:val="0"/>
          <w:highlight w:val="red"/>
          <w:lang w:val="en-US" w:eastAsia="zh-CN"/>
        </w:rPr>
        <w:t>招标单位</w:t>
      </w:r>
      <w:r>
        <w:rPr>
          <w:rFonts w:hint="eastAsia" w:ascii="宋体" w:hAnsi="宋体" w:cs="宋体"/>
          <w:kern w:val="0"/>
        </w:rPr>
        <w:t>不负责对土方进行平衡。高不负责挖，低不负责填，全由</w:t>
      </w:r>
      <w:r>
        <w:rPr>
          <w:rFonts w:hint="eastAsia" w:ascii="宋体" w:hAnsi="宋体" w:cs="宋体"/>
          <w:kern w:val="0"/>
          <w:highlight w:val="yellow"/>
          <w:lang w:val="en-US" w:eastAsia="zh-CN"/>
        </w:rPr>
        <w:t>投标单位</w:t>
      </w:r>
      <w:r>
        <w:rPr>
          <w:rFonts w:hint="eastAsia" w:ascii="宋体" w:hAnsi="宋体" w:cs="宋体"/>
          <w:kern w:val="0"/>
        </w:rPr>
        <w:t>自行解决，按设计要求完成施工。雨后所产生的稀泥、粘泥等不能作为基层使用的土质，均由</w:t>
      </w:r>
      <w:r>
        <w:rPr>
          <w:rFonts w:hint="eastAsia" w:ascii="宋体" w:hAnsi="宋体" w:cs="宋体"/>
          <w:kern w:val="0"/>
          <w:highlight w:val="yellow"/>
          <w:lang w:val="en-US" w:eastAsia="zh-CN"/>
        </w:rPr>
        <w:t>投标单位</w:t>
      </w:r>
      <w:r>
        <w:rPr>
          <w:rFonts w:hint="eastAsia" w:ascii="宋体" w:hAnsi="宋体" w:cs="宋体"/>
          <w:kern w:val="0"/>
        </w:rPr>
        <w:t>按</w:t>
      </w:r>
      <w:r>
        <w:rPr>
          <w:rFonts w:hint="eastAsia" w:ascii="宋体" w:hAnsi="宋体" w:cs="宋体"/>
          <w:kern w:val="0"/>
          <w:highlight w:val="red"/>
          <w:lang w:val="en-US" w:eastAsia="zh-CN"/>
        </w:rPr>
        <w:t>招标单位</w:t>
      </w:r>
      <w:r>
        <w:rPr>
          <w:rFonts w:hint="eastAsia" w:ascii="宋体" w:hAnsi="宋体" w:cs="宋体"/>
          <w:kern w:val="0"/>
        </w:rPr>
        <w:t>要求予以清除，所产生的费用</w:t>
      </w:r>
      <w:r>
        <w:rPr>
          <w:rFonts w:hint="eastAsia" w:ascii="宋体" w:hAnsi="宋体" w:cs="宋体"/>
          <w:kern w:val="0"/>
          <w:highlight w:val="red"/>
          <w:lang w:val="en-US" w:eastAsia="zh-CN"/>
        </w:rPr>
        <w:t>招标单位</w:t>
      </w:r>
      <w:r>
        <w:rPr>
          <w:rFonts w:hint="eastAsia" w:ascii="宋体" w:hAnsi="宋体" w:cs="宋体"/>
          <w:kern w:val="0"/>
        </w:rPr>
        <w:t>不予承担。</w:t>
      </w:r>
    </w:p>
    <w:p>
      <w:pPr>
        <w:autoSpaceDE w:val="0"/>
        <w:autoSpaceDN w:val="0"/>
        <w:adjustRightInd w:val="0"/>
        <w:spacing w:line="360" w:lineRule="auto"/>
        <w:ind w:firstLine="525" w:firstLineChars="250"/>
        <w:rPr>
          <w:rFonts w:hint="eastAsia" w:ascii="宋体" w:hAnsi="宋体" w:cs="宋体"/>
          <w:kern w:val="0"/>
        </w:rPr>
      </w:pPr>
      <w:r>
        <w:rPr>
          <w:rFonts w:hint="eastAsia" w:ascii="宋体" w:hAnsi="宋体" w:cs="宋体"/>
          <w:kern w:val="0"/>
        </w:rPr>
        <w:t>5、施工区域内有阻碍施工的任何废弃物品、废弃材料、建筑垃圾、砂、炉渣等均由</w:t>
      </w:r>
      <w:r>
        <w:rPr>
          <w:rFonts w:hint="eastAsia" w:ascii="宋体" w:hAnsi="宋体" w:cs="宋体"/>
          <w:kern w:val="0"/>
          <w:highlight w:val="yellow"/>
          <w:lang w:val="en-US" w:eastAsia="zh-CN"/>
        </w:rPr>
        <w:t>投标单位</w:t>
      </w:r>
      <w:r>
        <w:rPr>
          <w:rFonts w:hint="eastAsia" w:ascii="宋体" w:hAnsi="宋体" w:cs="宋体"/>
          <w:kern w:val="0"/>
        </w:rPr>
        <w:t>予以清除，所产生的费用</w:t>
      </w:r>
      <w:r>
        <w:rPr>
          <w:rFonts w:hint="eastAsia" w:ascii="宋体" w:hAnsi="宋体" w:cs="宋体"/>
          <w:kern w:val="0"/>
          <w:highlight w:val="red"/>
          <w:lang w:val="en-US" w:eastAsia="zh-CN"/>
        </w:rPr>
        <w:t>招标单位</w:t>
      </w:r>
      <w:r>
        <w:rPr>
          <w:rFonts w:hint="eastAsia" w:ascii="宋体" w:hAnsi="宋体" w:cs="宋体"/>
          <w:kern w:val="0"/>
        </w:rPr>
        <w:t>不予承担。</w:t>
      </w:r>
    </w:p>
    <w:p>
      <w:pPr>
        <w:autoSpaceDE w:val="0"/>
        <w:autoSpaceDN w:val="0"/>
        <w:adjustRightInd w:val="0"/>
        <w:spacing w:line="360" w:lineRule="auto"/>
        <w:ind w:firstLine="525" w:firstLineChars="250"/>
        <w:rPr>
          <w:rFonts w:hint="eastAsia" w:ascii="宋体" w:hAnsi="宋体" w:cs="宋体"/>
          <w:kern w:val="0"/>
        </w:rPr>
      </w:pPr>
      <w:r>
        <w:rPr>
          <w:rFonts w:hint="eastAsia" w:ascii="宋体" w:hAnsi="宋体" w:cs="宋体"/>
          <w:kern w:val="0"/>
        </w:rPr>
        <w:t>6、主厂区道路基层施工完成后，会存在有施工车辆通行的情况。</w:t>
      </w:r>
      <w:r>
        <w:rPr>
          <w:rFonts w:hint="eastAsia" w:ascii="宋体" w:hAnsi="宋体" w:cs="宋体"/>
          <w:kern w:val="0"/>
          <w:highlight w:val="yellow"/>
          <w:lang w:val="en-US" w:eastAsia="zh-CN"/>
        </w:rPr>
        <w:t>投标单位</w:t>
      </w:r>
      <w:r>
        <w:rPr>
          <w:rFonts w:hint="eastAsia" w:ascii="宋体" w:hAnsi="宋体" w:cs="宋体"/>
          <w:kern w:val="0"/>
        </w:rPr>
        <w:t>不得已任何理由阻挠施工车辆通行，通行中如发生部分基层损坏的，由</w:t>
      </w:r>
      <w:r>
        <w:rPr>
          <w:rFonts w:hint="eastAsia" w:ascii="宋体" w:hAnsi="宋体" w:cs="宋体"/>
          <w:kern w:val="0"/>
          <w:highlight w:val="yellow"/>
          <w:lang w:val="en-US" w:eastAsia="zh-CN"/>
        </w:rPr>
        <w:t>投标单位</w:t>
      </w:r>
      <w:r>
        <w:rPr>
          <w:rFonts w:hint="eastAsia" w:ascii="宋体" w:hAnsi="宋体" w:cs="宋体"/>
          <w:kern w:val="0"/>
        </w:rPr>
        <w:t>负责修缮，所产生的费用</w:t>
      </w:r>
      <w:r>
        <w:rPr>
          <w:rFonts w:hint="eastAsia" w:ascii="宋体" w:hAnsi="宋体" w:cs="宋体"/>
          <w:kern w:val="0"/>
          <w:highlight w:val="red"/>
          <w:lang w:val="en-US" w:eastAsia="zh-CN"/>
        </w:rPr>
        <w:t>招标单位</w:t>
      </w:r>
      <w:r>
        <w:rPr>
          <w:rFonts w:hint="eastAsia" w:ascii="宋体" w:hAnsi="宋体" w:cs="宋体"/>
          <w:kern w:val="0"/>
        </w:rPr>
        <w:t>不予承担。</w:t>
      </w:r>
    </w:p>
    <w:p>
      <w:pPr>
        <w:pStyle w:val="7"/>
        <w:shd w:val="clear" w:color="auto" w:fill="FFFFFF"/>
        <w:spacing w:before="0" w:beforeAutospacing="0" w:after="0" w:afterAutospacing="0" w:line="360" w:lineRule="auto"/>
        <w:ind w:firstLine="420" w:firstLineChars="200"/>
        <w:jc w:val="both"/>
        <w:rPr>
          <w:rFonts w:hint="eastAsia"/>
          <w:sz w:val="21"/>
          <w:szCs w:val="21"/>
          <w:highlight w:val="red"/>
        </w:rPr>
      </w:pPr>
      <w:r>
        <w:rPr>
          <w:rFonts w:hint="eastAsia"/>
          <w:sz w:val="21"/>
          <w:szCs w:val="21"/>
          <w:highlight w:val="red"/>
        </w:rPr>
        <w:t>7、按设计标高开挖出的多余土方，由</w:t>
      </w:r>
      <w:r>
        <w:rPr>
          <w:rFonts w:hint="eastAsia" w:ascii="宋体" w:hAnsi="宋体" w:cs="宋体"/>
          <w:kern w:val="0"/>
          <w:sz w:val="21"/>
          <w:szCs w:val="21"/>
          <w:highlight w:val="red"/>
          <w:lang w:val="en-US" w:eastAsia="zh-CN"/>
        </w:rPr>
        <w:t>招标单位</w:t>
      </w:r>
      <w:r>
        <w:rPr>
          <w:rFonts w:hint="eastAsia"/>
          <w:sz w:val="21"/>
          <w:szCs w:val="21"/>
          <w:highlight w:val="red"/>
        </w:rPr>
        <w:t>指定地点存放，其土方用途归</w:t>
      </w:r>
      <w:r>
        <w:rPr>
          <w:rFonts w:hint="eastAsia" w:ascii="宋体" w:hAnsi="宋体" w:cs="宋体"/>
          <w:kern w:val="0"/>
          <w:sz w:val="21"/>
          <w:szCs w:val="21"/>
          <w:highlight w:val="red"/>
          <w:lang w:val="en-US" w:eastAsia="zh-CN"/>
        </w:rPr>
        <w:t>招标单位</w:t>
      </w:r>
      <w:r>
        <w:rPr>
          <w:rFonts w:hint="eastAsia"/>
          <w:sz w:val="21"/>
          <w:szCs w:val="21"/>
          <w:highlight w:val="red"/>
        </w:rPr>
        <w:t>支配，</w:t>
      </w:r>
      <w:r>
        <w:rPr>
          <w:rFonts w:hint="eastAsia" w:ascii="宋体" w:hAnsi="宋体" w:cs="宋体"/>
          <w:kern w:val="0"/>
          <w:sz w:val="21"/>
          <w:szCs w:val="21"/>
          <w:highlight w:val="yellow"/>
          <w:lang w:val="en-US" w:eastAsia="zh-CN"/>
        </w:rPr>
        <w:t>投标单位</w:t>
      </w:r>
      <w:r>
        <w:rPr>
          <w:rFonts w:hint="eastAsia"/>
          <w:sz w:val="21"/>
          <w:szCs w:val="21"/>
          <w:highlight w:val="red"/>
        </w:rPr>
        <w:t>无权支配任何土方。</w:t>
      </w:r>
    </w:p>
    <w:p>
      <w:pPr>
        <w:pStyle w:val="7"/>
        <w:shd w:val="clear" w:color="auto" w:fill="FFFFFF"/>
        <w:spacing w:before="0" w:beforeAutospacing="0" w:after="0" w:afterAutospacing="0" w:line="360" w:lineRule="auto"/>
        <w:ind w:firstLine="420" w:firstLineChars="200"/>
        <w:jc w:val="both"/>
        <w:rPr>
          <w:rFonts w:hint="eastAsia"/>
          <w:sz w:val="21"/>
          <w:szCs w:val="21"/>
          <w:highlight w:val="red"/>
        </w:rPr>
      </w:pPr>
      <w:r>
        <w:rPr>
          <w:rFonts w:hint="eastAsia"/>
          <w:sz w:val="21"/>
          <w:szCs w:val="21"/>
          <w:highlight w:val="red"/>
        </w:rPr>
        <w:t>8、按设计标高施工，低于设计标高的施工区域，</w:t>
      </w:r>
      <w:r>
        <w:rPr>
          <w:rFonts w:hint="eastAsia" w:ascii="宋体" w:hAnsi="宋体" w:cs="宋体"/>
          <w:kern w:val="0"/>
          <w:sz w:val="21"/>
          <w:szCs w:val="21"/>
          <w:highlight w:val="yellow"/>
          <w:lang w:val="en-US" w:eastAsia="zh-CN"/>
        </w:rPr>
        <w:t>投标单位</w:t>
      </w:r>
      <w:r>
        <w:rPr>
          <w:rFonts w:hint="eastAsia"/>
          <w:sz w:val="21"/>
          <w:szCs w:val="21"/>
          <w:highlight w:val="red"/>
        </w:rPr>
        <w:t>可采用现场多余的土方进行回填，如现场土方无法满足其施工用量，外购的土方所产生的费用由</w:t>
      </w:r>
      <w:r>
        <w:rPr>
          <w:rFonts w:hint="eastAsia" w:ascii="宋体" w:hAnsi="宋体" w:cs="宋体"/>
          <w:kern w:val="0"/>
          <w:sz w:val="21"/>
          <w:szCs w:val="21"/>
          <w:highlight w:val="yellow"/>
          <w:lang w:val="en-US" w:eastAsia="zh-CN"/>
        </w:rPr>
        <w:t>投标单位</w:t>
      </w:r>
      <w:r>
        <w:rPr>
          <w:rFonts w:hint="eastAsia"/>
          <w:sz w:val="21"/>
          <w:szCs w:val="21"/>
          <w:highlight w:val="red"/>
        </w:rPr>
        <w:t>承担，</w:t>
      </w:r>
      <w:r>
        <w:rPr>
          <w:rFonts w:hint="eastAsia" w:ascii="宋体" w:hAnsi="宋体" w:cs="宋体"/>
          <w:kern w:val="0"/>
          <w:sz w:val="21"/>
          <w:szCs w:val="21"/>
          <w:highlight w:val="red"/>
          <w:lang w:val="en-US" w:eastAsia="zh-CN"/>
        </w:rPr>
        <w:t>招标单位</w:t>
      </w:r>
      <w:r>
        <w:rPr>
          <w:rFonts w:hint="eastAsia"/>
          <w:sz w:val="21"/>
          <w:szCs w:val="21"/>
          <w:highlight w:val="red"/>
        </w:rPr>
        <w:t>不予承担任何购土费用。</w:t>
      </w:r>
    </w:p>
    <w:p>
      <w:pPr>
        <w:spacing w:line="360" w:lineRule="auto"/>
        <w:ind w:firstLine="420" w:firstLineChars="200"/>
        <w:rPr>
          <w:rFonts w:ascii="宋体" w:hAnsi="宋体" w:cs="宋体"/>
          <w:sz w:val="21"/>
          <w:szCs w:val="21"/>
        </w:rPr>
      </w:pPr>
      <w:r>
        <w:rPr>
          <w:rFonts w:hint="eastAsia" w:ascii="宋体" w:hAnsi="宋体" w:cs="宋体"/>
          <w:sz w:val="21"/>
          <w:szCs w:val="21"/>
          <w:lang w:val="en-US" w:eastAsia="zh-CN"/>
        </w:rPr>
        <w:t>9、</w:t>
      </w:r>
      <w:r>
        <w:rPr>
          <w:rFonts w:hint="eastAsia" w:ascii="宋体" w:hAnsi="宋体" w:cs="宋体"/>
          <w:sz w:val="21"/>
          <w:szCs w:val="21"/>
        </w:rPr>
        <w:t>承包人应保证</w:t>
      </w:r>
      <w:r>
        <w:rPr>
          <w:rFonts w:hint="eastAsia" w:ascii="宋体" w:hAnsi="宋体" w:cs="宋体"/>
          <w:sz w:val="21"/>
          <w:szCs w:val="21"/>
          <w:highlight w:val="yellow"/>
        </w:rPr>
        <w:t>202</w:t>
      </w:r>
      <w:r>
        <w:rPr>
          <w:rFonts w:hint="eastAsia" w:ascii="宋体" w:hAnsi="宋体" w:cs="宋体"/>
          <w:sz w:val="21"/>
          <w:szCs w:val="21"/>
          <w:highlight w:val="yellow"/>
          <w:lang w:val="en-US" w:eastAsia="zh-CN"/>
        </w:rPr>
        <w:t>2</w:t>
      </w:r>
      <w:r>
        <w:rPr>
          <w:rFonts w:hint="eastAsia" w:ascii="宋体" w:hAnsi="宋体" w:cs="宋体"/>
          <w:sz w:val="21"/>
          <w:szCs w:val="21"/>
          <w:highlight w:val="yellow"/>
        </w:rPr>
        <w:t>年</w:t>
      </w:r>
      <w:r>
        <w:rPr>
          <w:rFonts w:hint="eastAsia" w:ascii="宋体" w:hAnsi="宋体" w:cs="宋体"/>
          <w:sz w:val="21"/>
          <w:szCs w:val="21"/>
        </w:rPr>
        <w:t>实际工程进度符合</w:t>
      </w:r>
      <w:r>
        <w:rPr>
          <w:rFonts w:hint="eastAsia" w:ascii="宋体" w:hAnsi="宋体" w:cs="宋体"/>
          <w:sz w:val="21"/>
          <w:szCs w:val="21"/>
          <w:lang w:val="en-US" w:eastAsia="zh-CN"/>
        </w:rPr>
        <w:t>招标单位</w:t>
      </w:r>
      <w:r>
        <w:rPr>
          <w:rFonts w:hint="eastAsia" w:ascii="宋体" w:hAnsi="宋体" w:cs="宋体"/>
          <w:sz w:val="21"/>
          <w:szCs w:val="21"/>
        </w:rPr>
        <w:t>进度计划的要求。若因承包人原因导致实际工程进度落后于计划进度，发包人有权通知承包人采取必要措施，加快工程进度，确保工程能在预定的工期内完工。承包人无权要求就所采取的措施支付任何额外费用。</w:t>
      </w:r>
    </w:p>
    <w:p>
      <w:pPr>
        <w:spacing w:line="360" w:lineRule="auto"/>
        <w:ind w:firstLine="359" w:firstLineChars="171"/>
        <w:rPr>
          <w:rFonts w:hint="eastAsia"/>
          <w:sz w:val="21"/>
          <w:szCs w:val="21"/>
          <w:lang w:val="zh-CN"/>
        </w:rPr>
      </w:pPr>
      <w:r>
        <w:rPr>
          <w:rFonts w:hint="eastAsia" w:ascii="宋体" w:hAnsi="宋体" w:cs="宋体"/>
          <w:sz w:val="21"/>
          <w:szCs w:val="21"/>
        </w:rPr>
        <w:t>如果承包人在接到发包人要求加快进度的通知后【3】日内，未能采取加快工程进度的措施，致使实际工程进度进一步滞后，或承包人虽采取了一些措施，但仍无法按计划工期交工时，发包人有权在向承包人发出书面通知【2】日后终止合同执行或将上述合同工程中的一部分工作委托给其它分包商完成。当发包人终止上述合同执行时，承包人的中转料具、</w:t>
      </w:r>
      <w:r>
        <w:rPr>
          <w:rFonts w:hint="eastAsia" w:ascii="宋体" w:hAnsi="宋体" w:cs="宋体"/>
          <w:sz w:val="21"/>
          <w:szCs w:val="21"/>
          <w:lang w:val="en-US" w:eastAsia="zh-CN"/>
        </w:rPr>
        <w:t>机械设备</w:t>
      </w:r>
      <w:r>
        <w:rPr>
          <w:rFonts w:hint="eastAsia" w:ascii="宋体" w:hAnsi="宋体" w:cs="宋体"/>
          <w:sz w:val="21"/>
          <w:szCs w:val="21"/>
        </w:rPr>
        <w:t>应无偿提供给发包人使用，</w:t>
      </w:r>
      <w:r>
        <w:rPr>
          <w:rFonts w:hint="eastAsia" w:ascii="宋体" w:hAnsi="宋体" w:cs="宋体"/>
          <w:sz w:val="21"/>
          <w:szCs w:val="21"/>
          <w:highlight w:val="yellow"/>
        </w:rPr>
        <w:t>直到工程结束，并且在后续的内业材料和</w:t>
      </w:r>
      <w:r>
        <w:rPr>
          <w:rFonts w:hint="eastAsia" w:ascii="宋体" w:hAnsi="宋体" w:cs="宋体"/>
          <w:sz w:val="21"/>
          <w:szCs w:val="21"/>
          <w:highlight w:val="yellow"/>
          <w:lang w:val="en-US" w:eastAsia="zh-CN"/>
        </w:rPr>
        <w:t>能源局</w:t>
      </w:r>
      <w:r>
        <w:rPr>
          <w:rFonts w:hint="eastAsia" w:ascii="宋体" w:hAnsi="宋体" w:cs="宋体"/>
          <w:sz w:val="21"/>
          <w:szCs w:val="21"/>
          <w:highlight w:val="yellow"/>
        </w:rPr>
        <w:t>监检等相关流程手续上无偿配合</w:t>
      </w:r>
      <w:r>
        <w:rPr>
          <w:rFonts w:hint="eastAsia" w:ascii="宋体" w:hAnsi="宋体" w:cs="宋体"/>
          <w:sz w:val="21"/>
          <w:szCs w:val="21"/>
          <w:highlight w:val="yellow"/>
          <w:lang w:val="en-US" w:eastAsia="zh-CN"/>
        </w:rPr>
        <w:t>招标单位</w:t>
      </w:r>
      <w:r>
        <w:rPr>
          <w:rFonts w:hint="eastAsia" w:ascii="宋体" w:hAnsi="宋体" w:cs="宋体"/>
          <w:sz w:val="21"/>
          <w:szCs w:val="21"/>
          <w:highlight w:val="yellow"/>
        </w:rPr>
        <w:t>直到工程结束，</w:t>
      </w:r>
      <w:r>
        <w:rPr>
          <w:rFonts w:hint="eastAsia" w:ascii="宋体" w:hAnsi="宋体"/>
          <w:sz w:val="21"/>
          <w:szCs w:val="21"/>
          <w:highlight w:val="yellow"/>
        </w:rPr>
        <w:t>乙方不得阻拦和妨碍施工，乙方人员必须2日内无条件撤出施工场地，由此引起的额外费用由承包人承担，具体工程款待工程结束后按</w:t>
      </w:r>
      <w:r>
        <w:rPr>
          <w:rFonts w:hint="eastAsia" w:ascii="宋体" w:hAnsi="宋体"/>
          <w:sz w:val="21"/>
          <w:szCs w:val="21"/>
          <w:highlight w:val="yellow"/>
          <w:lang w:eastAsia="zh-CN"/>
        </w:rPr>
        <w:t>合同</w:t>
      </w:r>
      <w:r>
        <w:rPr>
          <w:rFonts w:hint="eastAsia" w:ascii="宋体" w:hAnsi="宋体"/>
          <w:sz w:val="21"/>
          <w:szCs w:val="21"/>
          <w:highlight w:val="yellow"/>
        </w:rPr>
        <w:t>条款执行。</w:t>
      </w:r>
    </w:p>
    <w:p>
      <w:pPr>
        <w:pStyle w:val="4"/>
        <w:spacing w:before="0" w:line="360" w:lineRule="exact"/>
        <w:rPr>
          <w:rFonts w:hint="eastAsia" w:ascii="宋体" w:hAnsi="宋体" w:cs="宋体"/>
          <w:sz w:val="21"/>
        </w:rPr>
      </w:pPr>
      <w:bookmarkStart w:id="5" w:name="_Toc26647"/>
      <w:r>
        <w:rPr>
          <w:rFonts w:hint="eastAsia" w:ascii="宋体" w:hAnsi="宋体" w:cs="宋体"/>
          <w:sz w:val="21"/>
        </w:rPr>
        <w:t xml:space="preserve">5. </w:t>
      </w:r>
      <w:r>
        <w:rPr>
          <w:rFonts w:hint="eastAsia" w:ascii="宋体" w:hAnsi="宋体" w:cs="宋体"/>
          <w:sz w:val="21"/>
          <w:lang w:val="zh-CN"/>
        </w:rPr>
        <w:t>招投标时间安排</w:t>
      </w:r>
      <w:bookmarkEnd w:id="5"/>
    </w:p>
    <w:p>
      <w:pPr>
        <w:autoSpaceDE w:val="0"/>
        <w:autoSpaceDN w:val="0"/>
        <w:adjustRightInd w:val="0"/>
        <w:spacing w:line="360" w:lineRule="exact"/>
        <w:rPr>
          <w:rFonts w:hint="eastAsia" w:ascii="宋体" w:hAnsi="宋体" w:cs="宋体"/>
          <w:lang w:val="zh-CN"/>
        </w:rPr>
      </w:pPr>
      <w:r>
        <w:rPr>
          <w:rFonts w:hint="eastAsia" w:ascii="宋体" w:hAnsi="宋体" w:cs="宋体"/>
          <w:lang w:val="zh-CN"/>
        </w:rPr>
        <w:t>招投标时间安排见前附表中的说明。</w:t>
      </w:r>
    </w:p>
    <w:p>
      <w:pPr>
        <w:pStyle w:val="4"/>
        <w:spacing w:before="0" w:line="360" w:lineRule="exact"/>
        <w:rPr>
          <w:rFonts w:hint="eastAsia" w:ascii="宋体" w:hAnsi="宋体" w:cs="宋体"/>
          <w:sz w:val="21"/>
        </w:rPr>
      </w:pPr>
      <w:bookmarkStart w:id="6" w:name="_Toc25737"/>
      <w:r>
        <w:rPr>
          <w:rFonts w:hint="eastAsia" w:ascii="宋体" w:hAnsi="宋体" w:cs="宋体"/>
          <w:sz w:val="21"/>
        </w:rPr>
        <w:t xml:space="preserve">6. </w:t>
      </w:r>
      <w:r>
        <w:rPr>
          <w:rFonts w:hint="eastAsia" w:ascii="宋体" w:hAnsi="宋体" w:cs="宋体"/>
          <w:sz w:val="21"/>
          <w:lang w:val="zh-CN"/>
        </w:rPr>
        <w:t>投标费用</w:t>
      </w:r>
      <w:bookmarkEnd w:id="6"/>
    </w:p>
    <w:p>
      <w:pPr>
        <w:spacing w:line="360" w:lineRule="auto"/>
        <w:rPr>
          <w:rFonts w:hint="eastAsia" w:ascii="宋体" w:hAnsi="宋体" w:cs="宋体"/>
          <w:kern w:val="0"/>
        </w:rPr>
      </w:pPr>
      <w:r>
        <w:rPr>
          <w:rFonts w:hint="eastAsia" w:ascii="宋体" w:hAnsi="宋体" w:cs="宋体"/>
          <w:kern w:val="0"/>
        </w:rPr>
        <w:t>6.1投标人应自行承担投标文件准备与递交及参加投标活动所涉及的一切费用，不论投标结果如何，招标人及招标代理机构对上述费用不负任何责任。</w:t>
      </w:r>
    </w:p>
    <w:p>
      <w:pPr>
        <w:spacing w:line="360" w:lineRule="exact"/>
        <w:rPr>
          <w:rFonts w:hint="eastAsia" w:ascii="宋体" w:hAnsi="宋体" w:cs="宋体"/>
          <w:highlight w:val="yellow"/>
        </w:rPr>
      </w:pPr>
      <w:r>
        <w:rPr>
          <w:rFonts w:hint="eastAsia" w:ascii="宋体" w:hAnsi="宋体" w:cs="宋体"/>
          <w:kern w:val="0"/>
          <w:highlight w:val="yellow"/>
        </w:rPr>
        <w:t>6.2中标服务费</w:t>
      </w:r>
      <w:r>
        <w:rPr>
          <w:rFonts w:ascii="宋体" w:hAnsi="宋体" w:cs="宋体"/>
          <w:kern w:val="0"/>
          <w:highlight w:val="yellow"/>
        </w:rPr>
        <w:t>：</w:t>
      </w:r>
      <w:r>
        <w:rPr>
          <w:rFonts w:hint="eastAsia"/>
          <w:szCs w:val="21"/>
          <w:highlight w:val="yellow"/>
        </w:rPr>
        <w:t>中标方须支付中标服务费合同总价的</w:t>
      </w:r>
      <w:r>
        <w:rPr>
          <w:rFonts w:hint="eastAsia"/>
          <w:szCs w:val="21"/>
          <w:highlight w:val="yellow"/>
          <w:lang w:val="en-US" w:eastAsia="zh-CN"/>
        </w:rPr>
        <w:t>1</w:t>
      </w:r>
      <w:r>
        <w:rPr>
          <w:szCs w:val="21"/>
          <w:highlight w:val="yellow"/>
        </w:rPr>
        <w:t>%</w:t>
      </w:r>
      <w:r>
        <w:rPr>
          <w:rFonts w:hint="eastAsia"/>
          <w:szCs w:val="21"/>
          <w:highlight w:val="yellow"/>
        </w:rPr>
        <w:t>。</w:t>
      </w:r>
    </w:p>
    <w:p/>
    <w:sectPr>
      <w:pgSz w:w="11906" w:h="16838"/>
      <w:pgMar w:top="1440"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DF366"/>
    <w:multiLevelType w:val="singleLevel"/>
    <w:tmpl w:val="9DFDF366"/>
    <w:lvl w:ilvl="0" w:tentative="0">
      <w:start w:val="3"/>
      <w:numFmt w:val="decimal"/>
      <w:suff w:val="space"/>
      <w:lvlText w:val="%1."/>
      <w:lvlJc w:val="left"/>
    </w:lvl>
  </w:abstractNum>
  <w:abstractNum w:abstractNumId="1">
    <w:nsid w:val="0A0151F3"/>
    <w:multiLevelType w:val="singleLevel"/>
    <w:tmpl w:val="0A0151F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VhMDljYmM3Mzk1MzJlMDYwMGI2Y2U5YzcxZTMxMDEifQ=="/>
  </w:docVars>
  <w:rsids>
    <w:rsidRoot w:val="25AC1CF3"/>
    <w:rsid w:val="25AC1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qFormat/>
    <w:uiPriority w:val="0"/>
    <w:pPr>
      <w:keepNext/>
      <w:keepLines/>
      <w:spacing w:line="360" w:lineRule="auto"/>
      <w:jc w:val="center"/>
      <w:outlineLvl w:val="0"/>
    </w:pPr>
    <w:rPr>
      <w:b/>
      <w:kern w:val="44"/>
      <w:sz w:val="36"/>
      <w:szCs w:val="20"/>
    </w:rPr>
  </w:style>
  <w:style w:type="paragraph" w:styleId="4">
    <w:name w:val="heading 2"/>
    <w:basedOn w:val="1"/>
    <w:next w:val="1"/>
    <w:link w:val="12"/>
    <w:qFormat/>
    <w:uiPriority w:val="0"/>
    <w:pPr>
      <w:keepNext/>
      <w:keepLines/>
      <w:numPr>
        <w:ilvl w:val="0"/>
        <w:numId w:val="0"/>
      </w:numPr>
      <w:tabs>
        <w:tab w:val="left" w:pos="1560"/>
      </w:tabs>
      <w:spacing w:before="20" w:beforeLines="0" w:line="460" w:lineRule="exact"/>
      <w:outlineLvl w:val="1"/>
    </w:pPr>
    <w:rPr>
      <w:rFonts w:eastAsia="宋体"/>
      <w:b/>
      <w:bCs/>
      <w:color w:val="000000"/>
      <w:kern w:val="2"/>
      <w:sz w:val="24"/>
      <w:szCs w:val="21"/>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utoSpaceDE w:val="0"/>
      <w:autoSpaceDN w:val="0"/>
      <w:adjustRightInd w:val="0"/>
      <w:spacing w:line="360" w:lineRule="auto"/>
    </w:pPr>
    <w:rPr>
      <w:rFonts w:ascii="宋体" w:hAnsi="Arial" w:cs="宋体"/>
      <w:color w:val="000000"/>
      <w:lang w:val="zh-CN"/>
    </w:rPr>
  </w:style>
  <w:style w:type="paragraph" w:styleId="5">
    <w:name w:val="toc 1"/>
    <w:basedOn w:val="1"/>
    <w:next w:val="1"/>
    <w:qFormat/>
    <w:uiPriority w:val="0"/>
    <w:pPr>
      <w:widowControl/>
      <w:tabs>
        <w:tab w:val="right" w:leader="dot" w:pos="9016"/>
      </w:tabs>
      <w:spacing w:before="120" w:beforeLines="0" w:after="120" w:afterLines="0"/>
      <w:jc w:val="left"/>
    </w:pPr>
    <w:rPr>
      <w:rFonts w:ascii="宋体" w:hAnsi="宋体" w:cs="宋体"/>
      <w:b/>
      <w:color w:val="000000"/>
      <w:kern w:val="0"/>
    </w:rPr>
  </w:style>
  <w:style w:type="paragraph" w:styleId="6">
    <w:name w:val="toc 2"/>
    <w:basedOn w:val="1"/>
    <w:next w:val="1"/>
    <w:uiPriority w:val="0"/>
    <w:pPr>
      <w:ind w:left="420" w:leftChars="200"/>
    </w:pPr>
    <w:rPr>
      <w:szCs w:val="20"/>
    </w:rPr>
  </w:style>
  <w:style w:type="paragraph" w:styleId="7">
    <w:name w:val="Normal (Web)"/>
    <w:basedOn w:val="1"/>
    <w:uiPriority w:val="0"/>
    <w:pPr>
      <w:widowControl/>
      <w:spacing w:before="100" w:beforeLines="0" w:beforeAutospacing="1" w:after="100" w:afterLines="0" w:afterAutospacing="1"/>
      <w:jc w:val="left"/>
    </w:pPr>
    <w:rPr>
      <w:rFonts w:ascii="宋体" w:hAnsi="宋体" w:cs="宋体"/>
      <w:kern w:val="0"/>
      <w:sz w:val="24"/>
      <w:szCs w:val="24"/>
    </w:rPr>
  </w:style>
  <w:style w:type="table" w:styleId="9">
    <w:name w:val="Table Grid 5"/>
    <w:basedOn w:val="8"/>
    <w:uiPriority w:val="0"/>
    <w:pPr>
      <w:widowControl w:val="0"/>
      <w:ind w:firstLine="425"/>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top w:val="nil"/>
          <w:left w:val="single" w:color="000000" w:sz="12" w:space="0"/>
          <w:bottom w:val="nil"/>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character" w:styleId="11">
    <w:name w:val="Hyperlink"/>
    <w:qFormat/>
    <w:uiPriority w:val="0"/>
    <w:rPr>
      <w:color w:val="0000FF"/>
      <w:u w:val="single"/>
    </w:rPr>
  </w:style>
  <w:style w:type="character" w:customStyle="1" w:styleId="12">
    <w:name w:val="标题 2 Char"/>
    <w:link w:val="4"/>
    <w:qFormat/>
    <w:uiPriority w:val="0"/>
    <w:rPr>
      <w:rFonts w:eastAsia="宋体"/>
      <w:b/>
      <w:bCs/>
      <w:color w:val="000000"/>
      <w:kern w:val="2"/>
      <w:sz w:val="24"/>
      <w:szCs w:val="21"/>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2022-05-18T01:52:00Z</dcterms:created>
  <dc:creator>Administrator</dc:creator>
  <cp:lastModifiedBy>Administrator</cp:lastModifiedBy>
  <dcterms:modified xsi:type="dcterms:W3CDTF">2022-05-18T01:59:25Z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45DA8799D03F4D82A1469F2752422B37</vt:lpwstr>
  </property>
</Properties>
</file>