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富裕县2*40MW农林生物质热电项目</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（一期二期）</w:t>
      </w:r>
    </w:p>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bookmarkStart w:id="7" w:name="_GoBack"/>
      <w:r>
        <w:rPr>
          <w:rFonts w:hint="eastAsia" w:ascii="黑体" w:eastAsia="黑体" w:cs="黑体"/>
          <w:b/>
          <w:bCs/>
          <w:sz w:val="44"/>
          <w:szCs w:val="44"/>
          <w:lang w:val="en-US" w:eastAsia="zh-CN"/>
        </w:rPr>
        <w:t>全厂区建筑物内通风工程</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设备供应及施工</w:t>
      </w:r>
    </w:p>
    <w:bookmarkEnd w:id="7"/>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hAnsi="宋体" w:eastAsia="黑体" w:cs="宋体"/>
          <w:bCs/>
          <w:sz w:val="36"/>
          <w:szCs w:val="36"/>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微软雅黑" w:cs="Tahoma"/>
          <w:kern w:val="0"/>
          <w:highlight w:val="yellow"/>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微软雅黑" w:hAnsi="微软雅黑" w:eastAsia="微软雅黑" w:cs="微软雅黑"/>
          <w:i w:val="0"/>
          <w:iCs w:val="0"/>
          <w:caps w:val="0"/>
          <w:color w:val="171A1D"/>
          <w:spacing w:val="0"/>
          <w:sz w:val="36"/>
          <w:szCs w:val="36"/>
          <w:shd w:val="clear" w:color="auto" w:fill="FFFFFF"/>
        </w:rPr>
        <w:t>JZNY-FYSWZ80-202</w:t>
      </w:r>
      <w:r>
        <w:rPr>
          <w:rFonts w:hint="eastAsia" w:ascii="微软雅黑" w:hAnsi="微软雅黑" w:eastAsia="微软雅黑" w:cs="微软雅黑"/>
          <w:i w:val="0"/>
          <w:iCs w:val="0"/>
          <w:caps w:val="0"/>
          <w:color w:val="171A1D"/>
          <w:spacing w:val="0"/>
          <w:sz w:val="36"/>
          <w:szCs w:val="36"/>
          <w:shd w:val="clear" w:color="auto" w:fill="FFFFFF"/>
          <w:lang w:val="en-US" w:eastAsia="zh-CN"/>
        </w:rPr>
        <w:t>2</w:t>
      </w:r>
      <w:r>
        <w:rPr>
          <w:rFonts w:ascii="微软雅黑" w:hAnsi="微软雅黑" w:eastAsia="微软雅黑" w:cs="微软雅黑"/>
          <w:i w:val="0"/>
          <w:iCs w:val="0"/>
          <w:caps w:val="0"/>
          <w:color w:val="171A1D"/>
          <w:spacing w:val="0"/>
          <w:sz w:val="36"/>
          <w:szCs w:val="36"/>
          <w:shd w:val="clear" w:color="auto" w:fill="FFFFFF"/>
        </w:rPr>
        <w:t>-</w:t>
      </w:r>
      <w:r>
        <w:rPr>
          <w:rFonts w:hint="eastAsia" w:ascii="微软雅黑" w:hAnsi="微软雅黑" w:eastAsia="微软雅黑" w:cs="微软雅黑"/>
          <w:i w:val="0"/>
          <w:iCs w:val="0"/>
          <w:caps w:val="0"/>
          <w:color w:val="171A1D"/>
          <w:spacing w:val="0"/>
          <w:sz w:val="36"/>
          <w:szCs w:val="36"/>
          <w:shd w:val="clear" w:color="auto" w:fill="FFFFFF"/>
          <w:lang w:val="en-US" w:eastAsia="zh-CN"/>
        </w:rPr>
        <w:t>263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 xml:space="preserve">招标人：沈阳昊诚电气有限公司 </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both"/>
        <w:rPr>
          <w:rFonts w:hint="eastAsia" w:ascii="宋体" w:hAnsi="宋体" w:cs="宋体"/>
          <w:b/>
          <w:bCs/>
          <w:sz w:val="32"/>
          <w:szCs w:val="32"/>
          <w:lang w:val="zh-CN"/>
        </w:rPr>
      </w:pPr>
    </w:p>
    <w:p>
      <w:pPr>
        <w:pStyle w:val="3"/>
        <w:spacing w:line="360" w:lineRule="exact"/>
        <w:rPr>
          <w:rFonts w:hint="eastAsia" w:ascii="宋体" w:hAnsi="宋体" w:cs="宋体"/>
          <w:szCs w:val="44"/>
        </w:rPr>
      </w:pPr>
      <w:bookmarkStart w:id="0" w:name="_Toc12942"/>
      <w:r>
        <w:rPr>
          <w:rFonts w:hint="eastAsia" w:ascii="宋体" w:hAnsi="宋体" w:cs="宋体"/>
          <w:szCs w:val="44"/>
        </w:rPr>
        <w:t xml:space="preserve"> 投标人须知</w:t>
      </w:r>
      <w:bookmarkEnd w:id="0"/>
    </w:p>
    <w:p>
      <w:pPr>
        <w:autoSpaceDE w:val="0"/>
        <w:autoSpaceDN w:val="0"/>
        <w:adjustRightInd w:val="0"/>
        <w:spacing w:line="360" w:lineRule="exact"/>
        <w:jc w:val="center"/>
        <w:rPr>
          <w:rFonts w:hint="eastAsia" w:ascii="宋体" w:hAnsi="宋体" w:cs="宋体"/>
          <w:b/>
          <w:bCs/>
          <w:sz w:val="24"/>
          <w:szCs w:val="24"/>
          <w:lang w:val="zh-CN"/>
        </w:rPr>
      </w:pPr>
      <w:r>
        <w:rPr>
          <w:rFonts w:hint="eastAsia" w:ascii="宋体" w:hAnsi="宋体" w:cs="宋体"/>
          <w:b/>
          <w:bCs/>
          <w:sz w:val="24"/>
          <w:szCs w:val="24"/>
          <w:lang w:val="zh-CN"/>
        </w:rPr>
        <w:t>前 附 表</w:t>
      </w:r>
    </w:p>
    <w:tbl>
      <w:tblPr>
        <w:tblStyle w:val="8"/>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富裕县2*40MW农林生物质热电项目（一期二期）</w:t>
            </w:r>
          </w:p>
          <w:p>
            <w:pPr>
              <w:tabs>
                <w:tab w:val="left" w:pos="0"/>
                <w:tab w:val="decimal" w:pos="8460"/>
                <w:tab w:val="right" w:leader="dot" w:pos="10800"/>
              </w:tabs>
              <w:spacing w:line="360" w:lineRule="auto"/>
              <w:ind w:right="-60"/>
              <w:jc w:val="both"/>
              <w:rPr>
                <w:rFonts w:hint="default" w:ascii="宋体" w:hAnsi="宋体" w:eastAsia="宋体" w:cs="宋体"/>
                <w:lang w:val="en-US" w:eastAsia="zh-CN"/>
              </w:rPr>
            </w:pPr>
            <w:r>
              <w:rPr>
                <w:rFonts w:hint="eastAsia" w:ascii="宋体" w:hAnsi="宋体" w:eastAsia="宋体" w:cs="宋体"/>
                <w:b/>
                <w:bCs/>
                <w:sz w:val="21"/>
                <w:szCs w:val="21"/>
                <w:highlight w:val="yellow"/>
                <w:lang w:val="en-US" w:eastAsia="zh-CN"/>
              </w:rPr>
              <w:t>全厂区建筑物内通风工程设备供应及施工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rPr>
            </w:pPr>
            <w:r>
              <w:rPr>
                <w:rFonts w:hint="eastAsia"/>
                <w:color w:val="000000"/>
                <w:szCs w:val="21"/>
                <w:lang w:val="en-US" w:eastAsia="zh-CN"/>
              </w:rPr>
              <w:t>富裕县工业园区内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宋体" w:hAnsi="宋体" w:cs="宋体"/>
                <w:lang w:val="en-US" w:eastAsia="zh-CN"/>
              </w:rPr>
              <w:t>2*40MW生物质热电项目</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color w:val="000000"/>
                <w:szCs w:val="21"/>
                <w:highlight w:val="yellow"/>
                <w:lang w:val="en-US" w:eastAsia="zh-CN"/>
              </w:rPr>
              <w:t>2022年5月20日开工-2022年8月31日完工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见投标人须知第3条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详见招标公告</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eastAsia="宋体" w:cs="宋体"/>
                <w:lang w:val="zh-CN" w:eastAsia="zh-CN"/>
              </w:rPr>
            </w:pPr>
            <w:r>
              <w:rPr>
                <w:rFonts w:hint="eastAsia" w:ascii="宋体" w:hAnsi="宋体" w:cs="宋体"/>
                <w:highlight w:val="yellow"/>
                <w:lang w:val="en-US" w:eastAsia="zh-CN"/>
              </w:rPr>
              <w:t>伍仟元</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投电子版标书独立文档</w:t>
            </w:r>
            <w:r>
              <w:rPr>
                <w:rFonts w:hint="eastAsia" w:ascii="宋体" w:hAnsi="宋体" w:cs="宋体"/>
                <w:lang w:val="en-US" w:eastAsia="zh-CN"/>
              </w:rPr>
              <w:t>2</w:t>
            </w:r>
            <w:r>
              <w:rPr>
                <w:rFonts w:hint="eastAsia" w:ascii="宋体" w:hAnsi="宋体" w:cs="宋体"/>
                <w:lang w:val="zh-CN"/>
              </w:rPr>
              <w:t>份</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1.商务技术一份</w:t>
            </w:r>
            <w:r>
              <w:rPr>
                <w:rFonts w:hint="eastAsia" w:ascii="宋体" w:hAnsi="宋体" w:cs="宋体"/>
                <w:lang w:val="zh-CN" w:eastAsia="zh-CN"/>
              </w:rPr>
              <w:t>（不体现报价）</w:t>
            </w:r>
            <w:r>
              <w:rPr>
                <w:rFonts w:hint="eastAsia" w:ascii="宋体" w:hAnsi="宋体" w:cs="宋体"/>
                <w:lang w:val="zh-CN"/>
              </w:rPr>
              <w:t>，</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.报价单</w:t>
            </w:r>
            <w:r>
              <w:rPr>
                <w:rFonts w:hint="eastAsia" w:ascii="宋体" w:hAnsi="宋体" w:cs="宋体"/>
                <w:lang w:val="zh-CN" w:eastAsia="zh-CN"/>
              </w:rPr>
              <w:t>一份（</w:t>
            </w:r>
            <w:r>
              <w:rPr>
                <w:rFonts w:hint="eastAsia" w:ascii="宋体" w:hAnsi="宋体" w:cs="宋体"/>
                <w:lang w:val="zh-CN"/>
              </w:rPr>
              <w:t>PDF和Excel各一份</w:t>
            </w:r>
            <w:r>
              <w:rPr>
                <w:rFonts w:hint="eastAsia" w:ascii="宋体" w:hAnsi="宋体" w:cs="宋体"/>
                <w:lang w:val="zh-CN" w:eastAsia="zh-CN"/>
              </w:rPr>
              <w:t>）</w:t>
            </w:r>
          </w:p>
        </w:tc>
      </w:tr>
      <w:tr>
        <w:tblPrEx>
          <w:tblCellMar>
            <w:top w:w="0" w:type="dxa"/>
            <w:left w:w="108" w:type="dxa"/>
            <w:bottom w:w="0" w:type="dxa"/>
            <w:right w:w="108" w:type="dxa"/>
          </w:tblCellMar>
        </w:tblPrEx>
        <w:trPr>
          <w:trHeight w:val="47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20</w:t>
            </w:r>
            <w:r>
              <w:rPr>
                <w:rFonts w:hint="eastAsia" w:ascii="宋体" w:hAnsi="宋体" w:cs="宋体"/>
                <w:highlight w:val="yellow"/>
                <w:lang w:val="en-US" w:eastAsia="zh-CN"/>
              </w:rPr>
              <w:t>22</w:t>
            </w:r>
            <w:r>
              <w:rPr>
                <w:rFonts w:hint="eastAsia" w:ascii="宋体" w:hAnsi="宋体" w:cs="宋体"/>
                <w:highlight w:val="yellow"/>
                <w:lang w:val="zh-CN"/>
              </w:rPr>
              <w:t>年</w:t>
            </w:r>
            <w:r>
              <w:rPr>
                <w:rFonts w:hint="eastAsia" w:ascii="宋体" w:hAnsi="宋体" w:cs="宋体"/>
                <w:highlight w:val="yellow"/>
                <w:lang w:val="en-US" w:eastAsia="zh-CN"/>
              </w:rPr>
              <w:t>5</w:t>
            </w:r>
            <w:r>
              <w:rPr>
                <w:rFonts w:hint="eastAsia" w:ascii="宋体" w:hAnsi="宋体" w:cs="宋体"/>
                <w:highlight w:val="yellow"/>
                <w:lang w:val="zh-CN"/>
              </w:rPr>
              <w:t>月</w:t>
            </w:r>
            <w:r>
              <w:rPr>
                <w:rFonts w:hint="eastAsia" w:ascii="宋体" w:hAnsi="宋体" w:cs="宋体"/>
                <w:highlight w:val="yellow"/>
                <w:lang w:val="en-US" w:eastAsia="zh-CN"/>
              </w:rPr>
              <w:t>10</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Times New Roman" w:hAnsi="Times New Roman" w:eastAsia="宋体" w:cs="Times New Roman"/>
                <w:szCs w:val="21"/>
              </w:rPr>
              <w:t>电子开标，无需到现场，请将投标文件发至</w:t>
            </w:r>
            <w:r>
              <w:rPr>
                <w:rFonts w:hint="eastAsia" w:ascii="Times New Roman" w:hAnsi="Times New Roman" w:eastAsia="宋体" w:cs="Times New Roman"/>
                <w:szCs w:val="21"/>
                <w:lang w:val="en-US" w:eastAsia="zh-CN"/>
              </w:rPr>
              <w:t>邮箱：</w:t>
            </w:r>
            <w:r>
              <w:rPr>
                <w:rFonts w:hint="eastAsia" w:ascii="Times New Roman" w:hAnsi="Times New Roman" w:eastAsia="宋体" w:cs="Times New Roman"/>
                <w:szCs w:val="21"/>
                <w:highlight w:val="yellow"/>
                <w:lang w:val="en-US" w:eastAsia="zh-CN"/>
              </w:rPr>
              <w:t>zb</w:t>
            </w:r>
            <w:r>
              <w:rPr>
                <w:rFonts w:hint="eastAsia" w:ascii="Times New Roman" w:hAnsi="Times New Roman" w:eastAsia="宋体" w:cs="Times New Roman"/>
                <w:highlight w:val="yellow"/>
              </w:rPr>
              <w:t>@</w:t>
            </w:r>
            <w:r>
              <w:rPr>
                <w:rFonts w:hint="eastAsia" w:ascii="Times New Roman" w:hAnsi="Times New Roman" w:eastAsia="宋体" w:cs="Times New Roman"/>
                <w:highlight w:val="yellow"/>
                <w:lang w:val="en-US" w:eastAsia="zh-CN"/>
              </w:rPr>
              <w:t>jze.</w:t>
            </w:r>
            <w:r>
              <w:rPr>
                <w:rFonts w:hint="eastAsia" w:ascii="Times New Roman" w:hAnsi="Times New Roman" w:eastAsia="宋体" w:cs="Times New Roman"/>
                <w:highlight w:val="yellow"/>
              </w:rPr>
              <w:t>com</w:t>
            </w:r>
            <w:r>
              <w:rPr>
                <w:rFonts w:hint="eastAsia" w:ascii="Times New Roman" w:hAnsi="Times New Roman" w:eastAsia="宋体" w:cs="Times New Roman"/>
                <w:highlight w:val="yellow"/>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时间：2</w:t>
            </w:r>
            <w:r>
              <w:rPr>
                <w:rFonts w:hint="eastAsia" w:ascii="宋体" w:hAnsi="宋体" w:cs="宋体"/>
                <w:highlight w:val="yellow"/>
                <w:lang w:val="en-US" w:eastAsia="zh-CN"/>
              </w:rPr>
              <w:t>022</w:t>
            </w:r>
            <w:r>
              <w:rPr>
                <w:rFonts w:hint="eastAsia" w:ascii="宋体" w:hAnsi="宋体" w:cs="宋体"/>
                <w:highlight w:val="yellow"/>
                <w:lang w:val="zh-CN"/>
              </w:rPr>
              <w:t>年</w:t>
            </w:r>
            <w:r>
              <w:rPr>
                <w:rFonts w:hint="eastAsia" w:ascii="宋体" w:hAnsi="宋体" w:cs="宋体"/>
                <w:highlight w:val="yellow"/>
                <w:lang w:val="en-US" w:eastAsia="zh-CN"/>
              </w:rPr>
              <w:t>5</w:t>
            </w:r>
            <w:r>
              <w:rPr>
                <w:rFonts w:hint="eastAsia" w:ascii="宋体" w:hAnsi="宋体" w:cs="宋体"/>
                <w:highlight w:val="yellow"/>
                <w:lang w:val="zh-CN"/>
              </w:rPr>
              <w:t>月</w:t>
            </w:r>
            <w:r>
              <w:rPr>
                <w:rFonts w:hint="eastAsia" w:ascii="宋体" w:hAnsi="宋体" w:cs="宋体"/>
                <w:highlight w:val="yellow"/>
                <w:lang w:val="en-US" w:eastAsia="zh-CN"/>
              </w:rPr>
              <w:t>10</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邮箱地址</w:t>
            </w:r>
            <w:r>
              <w:rPr>
                <w:rFonts w:hint="eastAsia" w:ascii="宋体" w:hAnsi="宋体" w:cs="宋体"/>
                <w:lang w:val="zh-CN"/>
              </w:rPr>
              <w:t>：</w:t>
            </w:r>
            <w:r>
              <w:rPr>
                <w:rFonts w:hint="eastAsia" w:ascii="Times New Roman" w:hAnsi="Times New Roman" w:eastAsia="宋体" w:cs="Times New Roman"/>
                <w:szCs w:val="21"/>
                <w:lang w:val="en-US" w:eastAsia="zh-CN"/>
              </w:rPr>
              <w:t>zb</w:t>
            </w:r>
            <w:r>
              <w:rPr>
                <w:rFonts w:hint="eastAsia" w:ascii="Times New Roman" w:hAnsi="Times New Roman" w:eastAsia="宋体" w:cs="Times New Roman"/>
              </w:rPr>
              <w:t>@</w:t>
            </w:r>
            <w:r>
              <w:rPr>
                <w:rFonts w:hint="eastAsia" w:ascii="Times New Roman" w:hAnsi="Times New Roman" w:eastAsia="宋体"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765"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eastAsia" w:ascii="宋体" w:hAnsi="宋体" w:cs="宋体"/>
                <w:highlight w:val="none"/>
              </w:rPr>
            </w:pPr>
            <w:r>
              <w:rPr>
                <w:rFonts w:hint="eastAsia" w:ascii="宋体" w:hAnsi="宋体" w:cs="宋体"/>
                <w:highlight w:val="none"/>
                <w:lang w:val="en-US" w:eastAsia="zh-CN"/>
              </w:rPr>
              <w:t>商务</w:t>
            </w:r>
            <w:r>
              <w:rPr>
                <w:rFonts w:hint="eastAsia" w:ascii="宋体" w:hAnsi="宋体" w:cs="宋体"/>
                <w:highlight w:val="none"/>
              </w:rPr>
              <w:t>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default" w:ascii="宋体" w:hAnsi="宋体" w:cs="宋体"/>
                <w:highlight w:val="none"/>
                <w:lang w:val="en-US"/>
              </w:rPr>
            </w:pPr>
            <w:r>
              <w:rPr>
                <w:rFonts w:hint="eastAsia" w:ascii="宋体" w:hAnsi="宋体" w:cs="宋体"/>
                <w:highlight w:val="none"/>
              </w:rPr>
              <w:t>电    话：</w:t>
            </w:r>
            <w:r>
              <w:rPr>
                <w:rFonts w:hint="eastAsia" w:ascii="宋体" w:hAnsi="宋体"/>
                <w:highlight w:val="none"/>
                <w:lang w:val="en-US" w:eastAsia="zh-CN"/>
              </w:rPr>
              <w:t>18246093616</w:t>
            </w:r>
          </w:p>
          <w:p>
            <w:pPr>
              <w:widowControl/>
              <w:spacing w:line="0" w:lineRule="atLeast"/>
              <w:jc w:val="left"/>
              <w:rPr>
                <w:rFonts w:hint="eastAsia" w:ascii="宋体" w:hAnsi="宋体" w:cs="宋体"/>
                <w:color w:val="000000"/>
                <w:highlight w:val="yellow"/>
                <w:lang w:val="zh-CN"/>
              </w:rPr>
            </w:pPr>
            <w:r>
              <w:rPr>
                <w:rFonts w:hint="eastAsia" w:ascii="宋体" w:hAnsi="宋体" w:cs="宋体"/>
                <w:highlight w:val="none"/>
              </w:rPr>
              <w:t>电子邮箱：</w:t>
            </w:r>
            <w:r>
              <w:rPr>
                <w:rFonts w:hint="eastAsia" w:ascii="宋体" w:hAnsi="宋体" w:cs="宋体"/>
                <w:color w:val="000000"/>
                <w:kern w:val="0"/>
                <w:sz w:val="24"/>
                <w:szCs w:val="24"/>
                <w:highlight w:val="none"/>
              </w:rPr>
              <w:fldChar w:fldCharType="begin"/>
            </w:r>
            <w:r>
              <w:rPr>
                <w:rFonts w:hint="eastAsia" w:ascii="宋体" w:hAnsi="宋体" w:cs="宋体"/>
                <w:color w:val="000000"/>
                <w:kern w:val="0"/>
                <w:sz w:val="24"/>
                <w:szCs w:val="24"/>
                <w:highlight w:val="none"/>
              </w:rPr>
              <w:instrText xml:space="preserve"> HYPERLINK "mailto:jzcg8@jiuzhougroup.com" </w:instrText>
            </w:r>
            <w:r>
              <w:rPr>
                <w:rFonts w:hint="eastAsia" w:ascii="宋体" w:hAnsi="宋体" w:cs="宋体"/>
                <w:color w:val="000000"/>
                <w:kern w:val="0"/>
                <w:sz w:val="24"/>
                <w:szCs w:val="24"/>
                <w:highlight w:val="none"/>
              </w:rPr>
              <w:fldChar w:fldCharType="separate"/>
            </w:r>
            <w:r>
              <w:rPr>
                <w:rStyle w:val="10"/>
                <w:rFonts w:hint="eastAsia" w:ascii="宋体" w:hAnsi="宋体" w:cs="宋体"/>
                <w:color w:val="000000"/>
                <w:kern w:val="0"/>
                <w:sz w:val="24"/>
                <w:szCs w:val="24"/>
                <w:highlight w:val="none"/>
              </w:rPr>
              <w:t>jzcg8@jiuzhougroup.com</w:t>
            </w:r>
            <w:r>
              <w:rPr>
                <w:rFonts w:hint="eastAsia" w:ascii="宋体" w:hAnsi="宋体" w:cs="宋体"/>
                <w:color w:val="000000"/>
                <w:kern w:val="0"/>
                <w:sz w:val="24"/>
                <w:szCs w:val="24"/>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default" w:ascii="宋体" w:hAnsi="宋体"/>
                <w:highlight w:val="none"/>
                <w:lang w:val="en-US" w:eastAsia="zh-CN"/>
              </w:rPr>
            </w:pPr>
            <w:r>
              <w:rPr>
                <w:rFonts w:hint="eastAsia" w:ascii="宋体" w:hAnsi="宋体" w:cs="宋体"/>
                <w:highlight w:val="none"/>
                <w:lang w:val="en-US" w:eastAsia="zh-CN"/>
              </w:rPr>
              <w:t>技术</w:t>
            </w:r>
            <w:r>
              <w:rPr>
                <w:rFonts w:hint="eastAsia" w:ascii="宋体" w:hAnsi="宋体" w:cs="宋体"/>
                <w:highlight w:val="none"/>
              </w:rPr>
              <w:t>联系人：</w:t>
            </w:r>
            <w:r>
              <w:rPr>
                <w:rFonts w:hint="eastAsia" w:ascii="宋体" w:hAnsi="宋体"/>
                <w:highlight w:val="none"/>
                <w:lang w:val="en-US" w:eastAsia="zh-CN"/>
              </w:rPr>
              <w:t>杜  鹏</w:t>
            </w:r>
          </w:p>
          <w:p>
            <w:pPr>
              <w:tabs>
                <w:tab w:val="left" w:pos="0"/>
                <w:tab w:val="decimal" w:pos="6240"/>
                <w:tab w:val="right" w:pos="9600"/>
                <w:tab w:val="right" w:leader="dot" w:pos="10800"/>
              </w:tabs>
              <w:autoSpaceDE w:val="0"/>
              <w:autoSpaceDN w:val="0"/>
              <w:spacing w:line="360" w:lineRule="auto"/>
              <w:ind w:right="-1133"/>
              <w:rPr>
                <w:rFonts w:hint="default" w:ascii="宋体" w:hAnsi="宋体"/>
                <w:highlight w:val="none"/>
                <w:lang w:val="en-US" w:eastAsia="zh-CN"/>
              </w:rPr>
            </w:pPr>
            <w:r>
              <w:rPr>
                <w:rFonts w:hint="eastAsia" w:ascii="宋体" w:hAnsi="宋体" w:cs="宋体"/>
                <w:highlight w:val="none"/>
              </w:rPr>
              <w:t>电    话：</w:t>
            </w:r>
            <w:r>
              <w:rPr>
                <w:rFonts w:hint="eastAsia" w:ascii="宋体" w:hAnsi="宋体"/>
                <w:highlight w:val="none"/>
                <w:lang w:val="en-US" w:eastAsia="zh-CN"/>
              </w:rPr>
              <w:t>15545243939</w:t>
            </w:r>
          </w:p>
          <w:p>
            <w:pPr>
              <w:adjustRightInd w:val="0"/>
              <w:snapToGrid w:val="0"/>
              <w:spacing w:line="0" w:lineRule="atLeast"/>
              <w:rPr>
                <w:rFonts w:hint="default" w:ascii="宋体" w:hAnsi="宋体" w:eastAsia="宋体" w:cs="宋体"/>
                <w:color w:val="000000"/>
                <w:highlight w:val="yellow"/>
                <w:lang w:val="en-US" w:eastAsia="zh-CN"/>
              </w:rPr>
            </w:pPr>
            <w:r>
              <w:rPr>
                <w:rFonts w:hint="eastAsia" w:ascii="宋体" w:hAnsi="宋体" w:cs="宋体"/>
                <w:highlight w:val="none"/>
              </w:rPr>
              <w:t>电子邮箱：</w:t>
            </w:r>
            <w:r>
              <w:rPr>
                <w:rFonts w:hint="eastAsia" w:ascii="宋体" w:hAnsi="宋体" w:cs="宋体"/>
                <w:highlight w:val="none"/>
                <w:lang w:val="en-US" w:eastAsia="zh-CN"/>
              </w:rPr>
              <w:t>542333666@qq.com</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en-US" w:eastAsia="zh-CN"/>
              </w:rPr>
            </w:pPr>
            <w:r>
              <w:rPr>
                <w:rFonts w:hint="eastAsia" w:ascii="宋体" w:hAnsi="宋体" w:cs="宋体"/>
                <w:lang w:val="en-US" w:eastAsia="zh-CN"/>
              </w:rPr>
              <w:t>标书费、保证金</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汇款账户</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eastAsia="宋体"/>
                <w:lang w:val="en-US" w:eastAsia="zh-CN"/>
              </w:rPr>
            </w:pPr>
            <w:r>
              <w:rPr>
                <w:rFonts w:hint="eastAsia"/>
                <w:lang w:val="en-US" w:eastAsia="zh-CN"/>
              </w:rPr>
              <w:t>标书费：500元，投标保证金：5000元</w:t>
            </w:r>
          </w:p>
          <w:p>
            <w:pPr>
              <w:autoSpaceDE w:val="0"/>
              <w:autoSpaceDN w:val="0"/>
              <w:adjustRightInd w:val="0"/>
              <w:spacing w:line="360" w:lineRule="exact"/>
              <w:rPr>
                <w:rFonts w:hint="eastAsia"/>
              </w:rPr>
            </w:pPr>
            <w:r>
              <w:rPr>
                <w:rFonts w:hint="eastAsia"/>
              </w:rPr>
              <w:t>户名：哈尔滨九洲</w:t>
            </w:r>
            <w:r>
              <w:rPr>
                <w:rFonts w:hint="eastAsia"/>
                <w:lang w:val="en-US" w:eastAsia="zh-CN"/>
              </w:rPr>
              <w:t>集团</w:t>
            </w:r>
            <w:r>
              <w:rPr>
                <w:rFonts w:hint="eastAsia"/>
              </w:rPr>
              <w:t>股份有限公司</w:t>
            </w:r>
          </w:p>
          <w:p>
            <w:pPr>
              <w:autoSpaceDE w:val="0"/>
              <w:autoSpaceDN w:val="0"/>
              <w:adjustRightInd w:val="0"/>
              <w:spacing w:line="360" w:lineRule="exact"/>
              <w:rPr>
                <w:rFonts w:hint="eastAsia"/>
              </w:rPr>
            </w:pPr>
            <w:r>
              <w:rPr>
                <w:rFonts w:hint="eastAsia"/>
              </w:rPr>
              <w:t>开户行：中国建设银行股份有限公司哈尔滨铁道支行</w:t>
            </w:r>
          </w:p>
          <w:p>
            <w:pPr>
              <w:autoSpaceDE w:val="0"/>
              <w:autoSpaceDN w:val="0"/>
              <w:adjustRightInd w:val="0"/>
              <w:spacing w:line="360" w:lineRule="exact"/>
              <w:rPr>
                <w:rFonts w:hint="eastAsia"/>
              </w:rPr>
            </w:pPr>
            <w:r>
              <w:rPr>
                <w:rFonts w:hint="eastAsia"/>
              </w:rPr>
              <w:t>账号：23001867151050002942</w:t>
            </w:r>
          </w:p>
          <w:p>
            <w:pPr>
              <w:autoSpaceDE w:val="0"/>
              <w:autoSpaceDN w:val="0"/>
              <w:adjustRightInd w:val="0"/>
              <w:spacing w:line="360" w:lineRule="exact"/>
              <w:rPr>
                <w:rFonts w:hint="eastAsia" w:ascii="宋体" w:hAnsi="宋体" w:cs="宋体"/>
                <w:lang w:val="zh-CN"/>
              </w:rPr>
            </w:pPr>
            <w:r>
              <w:rPr>
                <w:rFonts w:hint="eastAsia"/>
              </w:rPr>
              <w:t>汇入城市：黑龙江省哈尔滨市</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kern w:val="2"/>
                <w:sz w:val="21"/>
                <w:szCs w:val="24"/>
                <w:lang w:val="zh-CN" w:eastAsia="zh-CN" w:bidi="ar-SA"/>
              </w:rPr>
            </w:pPr>
            <w:r>
              <w:rPr>
                <w:rFonts w:hint="eastAsia" w:ascii="宋体" w:hAnsi="宋体" w:cs="宋体"/>
                <w:lang w:val="en-US" w:eastAsia="zh-CN"/>
              </w:rPr>
              <w:t>18</w:t>
            </w:r>
          </w:p>
        </w:tc>
        <w:tc>
          <w:tcPr>
            <w:tcW w:w="9443"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lang w:eastAsia="zh-CN"/>
              </w:rPr>
            </w:pPr>
            <w:r>
              <w:rPr>
                <w:rFonts w:hint="eastAsia"/>
              </w:rPr>
              <w:t>评标方法：综合评定法</w:t>
            </w:r>
            <w:r>
              <w:rPr>
                <w:rFonts w:hint="eastAsia"/>
                <w:lang w:eastAsia="zh-CN"/>
              </w:rPr>
              <w:t>，</w:t>
            </w:r>
          </w:p>
          <w:p>
            <w:pPr>
              <w:autoSpaceDE w:val="0"/>
              <w:autoSpaceDN w:val="0"/>
              <w:adjustRightInd w:val="0"/>
              <w:spacing w:line="360" w:lineRule="exact"/>
              <w:rPr>
                <w:rFonts w:hint="eastAsia"/>
              </w:rPr>
            </w:pPr>
            <w:r>
              <w:rPr>
                <w:rFonts w:hint="eastAsia" w:ascii="Times New Roman" w:hAnsi="Times New Roman" w:eastAsia="宋体" w:cs="Times New Roman"/>
                <w:kern w:val="2"/>
                <w:sz w:val="21"/>
                <w:szCs w:val="24"/>
                <w:lang w:val="en-US" w:eastAsia="zh-CN" w:bidi="ar-SA"/>
              </w:rPr>
              <w:t>中标服务费：中标方须支付中标服务费（合同总价的1%）,包含在总价中，不在单独列出。</w:t>
            </w:r>
          </w:p>
        </w:tc>
      </w:tr>
    </w:tbl>
    <w:p>
      <w:pPr>
        <w:autoSpaceDE w:val="0"/>
        <w:autoSpaceDN w:val="0"/>
        <w:adjustRightInd w:val="0"/>
        <w:spacing w:line="360" w:lineRule="exact"/>
        <w:rPr>
          <w:rFonts w:hint="eastAsia" w:ascii="宋体" w:hAnsi="宋体" w:cs="宋体"/>
        </w:rPr>
      </w:pPr>
      <w:r>
        <w:rPr>
          <w:rFonts w:hint="eastAsia" w:ascii="宋体" w:hAnsi="宋体" w:cs="宋体"/>
          <w:b/>
          <w:bCs/>
          <w:sz w:val="24"/>
          <w:szCs w:val="24"/>
          <w:lang w:val="zh-CN"/>
        </w:rPr>
        <w:br w:type="page"/>
      </w:r>
      <w:bookmarkStart w:id="1" w:name="_Toc9922"/>
      <w:r>
        <w:rPr>
          <w:rStyle w:val="11"/>
          <w:rFonts w:hint="eastAsia"/>
        </w:rPr>
        <w:t>1. 定义</w:t>
      </w:r>
      <w:bookmarkEnd w:id="1"/>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1.1 工程：指位于</w:t>
      </w:r>
      <w:r>
        <w:rPr>
          <w:rFonts w:hint="eastAsia" w:ascii="宋体" w:hAnsi="宋体" w:cs="宋体"/>
          <w:highlight w:val="yellow"/>
          <w:lang w:val="en-US" w:eastAsia="zh-CN"/>
        </w:rPr>
        <w:t>齐齐哈尔市富裕县2*40MW农林生物质热电项目（一期二期</w:t>
      </w:r>
      <w:r>
        <w:rPr>
          <w:rFonts w:hint="eastAsia" w:ascii="宋体" w:hAnsi="宋体" w:cs="宋体"/>
          <w:b w:val="0"/>
          <w:bCs w:val="0"/>
          <w:highlight w:val="yellow"/>
          <w:lang w:val="en-US" w:eastAsia="zh-CN"/>
        </w:rPr>
        <w:t>）</w:t>
      </w:r>
      <w:r>
        <w:rPr>
          <w:rFonts w:hint="eastAsia" w:ascii="宋体" w:hAnsi="宋体" w:eastAsia="宋体" w:cs="宋体"/>
          <w:b w:val="0"/>
          <w:bCs w:val="0"/>
          <w:sz w:val="21"/>
          <w:szCs w:val="21"/>
          <w:highlight w:val="yellow"/>
          <w:lang w:val="en-US" w:eastAsia="zh-CN"/>
        </w:rPr>
        <w:t>全厂区建筑物内通风工程设备供应及施工</w:t>
      </w:r>
      <w:r>
        <w:rPr>
          <w:rFonts w:hint="eastAsia" w:ascii="宋体" w:hAnsi="宋体" w:cs="宋体"/>
          <w:highlight w:val="yellow"/>
          <w:lang w:val="en-US" w:eastAsia="zh-CN"/>
        </w:rPr>
        <w:t>，</w:t>
      </w:r>
      <w:r>
        <w:rPr>
          <w:rFonts w:hint="eastAsia" w:ascii="宋体" w:hAnsi="宋体" w:cs="宋体"/>
          <w:highlight w:val="yellow"/>
          <w:lang w:val="zh-CN"/>
        </w:rPr>
        <w:t>详见招标文件第五章。</w:t>
      </w:r>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1.2 招标人：指</w:t>
      </w:r>
      <w:r>
        <w:rPr>
          <w:rFonts w:hint="eastAsia" w:ascii="宋体" w:hAnsi="宋体" w:eastAsia="宋体" w:cs="宋体"/>
          <w:sz w:val="21"/>
          <w:szCs w:val="21"/>
          <w:highlight w:val="yellow"/>
          <w:lang w:val="zh-CN"/>
        </w:rPr>
        <w:t>沈阳昊诚电气有限公司</w:t>
      </w:r>
      <w:r>
        <w:rPr>
          <w:rFonts w:hint="eastAsia" w:ascii="宋体" w:hAnsi="宋体" w:cs="宋体"/>
          <w:highlight w:val="yellow"/>
          <w:lang w:val="zh-CN"/>
        </w:rPr>
        <w:t>，包括其承继者和经许可的受让人，在签订和执行合同阶段称为业主。</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1.3 投标人：指响应招标，参加投标竞争的法人或组织。</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1.4 中标人：指经过招标、评标并最终被授予合同的投标人。</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1.5 评标委员会：指招标人依法组建的，由招标人及招标人聘请的经济、技术专家组成的，负责具体评标工作的机构。</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 xml:space="preserve">1.6 承包商：指招标人通过本次招标所选择的，以总承包方式承建工程的法人或组织。在招投标阶段称为投标人。 </w:t>
      </w:r>
    </w:p>
    <w:p>
      <w:pPr>
        <w:autoSpaceDE w:val="0"/>
        <w:autoSpaceDN w:val="0"/>
        <w:adjustRightInd w:val="0"/>
        <w:spacing w:line="360" w:lineRule="exact"/>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 xml:space="preserve"> </w:t>
      </w:r>
      <w:r>
        <w:rPr>
          <w:rFonts w:hint="eastAsia" w:ascii="宋体" w:hAnsi="宋体" w:cs="宋体"/>
          <w:lang w:val="zh-CN"/>
        </w:rPr>
        <w:t>承包商必须在投标文件中承诺“除满足合同进度以外，还要满足业主因工程进度需要而变更进度的要求并不因此而另外追加合同费用”。</w:t>
      </w:r>
    </w:p>
    <w:p>
      <w:pPr>
        <w:autoSpaceDE w:val="0"/>
        <w:autoSpaceDN w:val="0"/>
        <w:adjustRightInd w:val="0"/>
        <w:spacing w:line="360" w:lineRule="exact"/>
        <w:rPr>
          <w:rFonts w:hint="eastAsia" w:ascii="宋体" w:hAnsi="宋体" w:cs="宋体"/>
          <w:lang w:val="zh-CN"/>
        </w:rPr>
      </w:pPr>
      <w:r>
        <w:rPr>
          <w:rFonts w:hint="eastAsia" w:ascii="宋体" w:hAnsi="宋体" w:cs="宋体"/>
        </w:rPr>
        <w:t>1.</w:t>
      </w:r>
      <w:r>
        <w:rPr>
          <w:rFonts w:hint="eastAsia" w:ascii="宋体" w:hAnsi="宋体" w:cs="宋体"/>
          <w:lang w:val="en-US" w:eastAsia="zh-CN"/>
        </w:rPr>
        <w:t>8</w:t>
      </w:r>
      <w:r>
        <w:rPr>
          <w:rFonts w:hint="eastAsia" w:ascii="宋体" w:hAnsi="宋体" w:cs="宋体"/>
        </w:rPr>
        <w:t xml:space="preserve"> </w:t>
      </w:r>
      <w:r>
        <w:rPr>
          <w:rFonts w:hint="eastAsia" w:ascii="宋体" w:hAnsi="宋体" w:cs="宋体"/>
          <w:lang w:val="zh-CN"/>
        </w:rPr>
        <w:t>投标人必须在投标文件中承诺：“无条件执行项目法人和监理单位关于工程建设管理的各项制度”。</w:t>
      </w:r>
    </w:p>
    <w:p>
      <w:pPr>
        <w:pStyle w:val="4"/>
        <w:bidi w:val="0"/>
        <w:rPr>
          <w:rFonts w:hint="eastAsia"/>
        </w:rPr>
      </w:pPr>
      <w:bookmarkStart w:id="2" w:name="_Toc28003"/>
      <w:r>
        <w:rPr>
          <w:rFonts w:hint="eastAsia"/>
        </w:rPr>
        <w:t xml:space="preserve">2. </w:t>
      </w:r>
      <w:r>
        <w:rPr>
          <w:rFonts w:hint="eastAsia"/>
          <w:lang w:val="zh-CN"/>
        </w:rPr>
        <w:t>工程概况</w:t>
      </w:r>
      <w:bookmarkEnd w:id="2"/>
    </w:p>
    <w:p>
      <w:pPr>
        <w:snapToGrid w:val="0"/>
        <w:spacing w:line="360" w:lineRule="auto"/>
        <w:rPr>
          <w:rFonts w:hint="eastAsia" w:ascii="宋体" w:hAnsi="宋体" w:eastAsia="宋体" w:cs="宋体"/>
          <w:b w:val="0"/>
          <w:bCs w:val="0"/>
          <w:sz w:val="21"/>
          <w:szCs w:val="21"/>
          <w:highlight w:val="yellow"/>
          <w:lang w:val="en-US" w:eastAsia="zh-CN"/>
        </w:rPr>
      </w:pPr>
      <w:r>
        <w:rPr>
          <w:rFonts w:hint="eastAsia" w:ascii="宋体" w:hAnsi="宋体" w:cs="宋体"/>
        </w:rPr>
        <w:t>2.1工程名称：</w:t>
      </w:r>
      <w:r>
        <w:rPr>
          <w:rFonts w:hint="eastAsia" w:ascii="宋体" w:hAnsi="宋体" w:cs="宋体"/>
          <w:highlight w:val="yellow"/>
          <w:lang w:val="en-US" w:eastAsia="zh-CN"/>
        </w:rPr>
        <w:t>富裕县2*40MW农林生物质热电项目（一期二期）</w:t>
      </w:r>
      <w:r>
        <w:rPr>
          <w:rFonts w:hint="eastAsia" w:ascii="宋体" w:hAnsi="宋体" w:eastAsia="宋体" w:cs="宋体"/>
          <w:b w:val="0"/>
          <w:bCs w:val="0"/>
          <w:sz w:val="21"/>
          <w:szCs w:val="21"/>
          <w:highlight w:val="yellow"/>
          <w:lang w:val="en-US" w:eastAsia="zh-CN"/>
        </w:rPr>
        <w:t>全厂区建筑物内通风工程设备供应及施工</w:t>
      </w:r>
    </w:p>
    <w:p>
      <w:pPr>
        <w:snapToGrid w:val="0"/>
        <w:spacing w:line="360" w:lineRule="auto"/>
        <w:rPr>
          <w:rFonts w:hint="eastAsia" w:ascii="宋体" w:hAnsi="宋体" w:cs="宋体"/>
          <w:highlight w:val="yellow"/>
        </w:rPr>
      </w:pPr>
      <w:r>
        <w:rPr>
          <w:rFonts w:hint="eastAsia" w:ascii="宋体" w:hAnsi="宋体" w:cs="宋体"/>
        </w:rPr>
        <w:t>2.2建设地点：</w:t>
      </w:r>
      <w:r>
        <w:rPr>
          <w:rFonts w:hint="eastAsia"/>
          <w:color w:val="000000"/>
          <w:szCs w:val="21"/>
          <w:highlight w:val="yellow"/>
        </w:rPr>
        <w:t>齐齐哈尔市</w:t>
      </w:r>
      <w:r>
        <w:rPr>
          <w:rFonts w:hint="eastAsia"/>
          <w:color w:val="000000"/>
          <w:szCs w:val="21"/>
          <w:highlight w:val="yellow"/>
          <w:lang w:val="en-US" w:eastAsia="zh-CN"/>
        </w:rPr>
        <w:t>富裕县工业园区内</w:t>
      </w:r>
    </w:p>
    <w:p>
      <w:pPr>
        <w:spacing w:line="300" w:lineRule="auto"/>
        <w:rPr>
          <w:rFonts w:hint="default" w:ascii="宋体" w:hAnsi="宋体" w:eastAsia="宋体" w:cs="宋体"/>
          <w:b w:val="0"/>
          <w:bCs w:val="0"/>
          <w:lang w:val="en-US" w:eastAsia="zh-CN"/>
        </w:rPr>
      </w:pPr>
      <w:r>
        <w:rPr>
          <w:rFonts w:hint="eastAsia" w:ascii="宋体" w:hAnsi="宋体" w:cs="宋体"/>
          <w:highlight w:val="none"/>
        </w:rPr>
        <w:t>2.3工程概况：</w:t>
      </w:r>
      <w:r>
        <w:rPr>
          <w:rFonts w:hint="eastAsia" w:ascii="宋体" w:hAnsi="宋体" w:cs="宋体"/>
          <w:highlight w:val="yellow"/>
        </w:rPr>
        <w:t>计划2</w:t>
      </w:r>
      <w:r>
        <w:rPr>
          <w:rFonts w:hint="eastAsia" w:ascii="宋体" w:hAnsi="宋体" w:cs="宋体"/>
          <w:highlight w:val="yellow"/>
          <w:lang w:val="en-US" w:eastAsia="zh-CN"/>
        </w:rPr>
        <w:t>022</w:t>
      </w:r>
      <w:r>
        <w:rPr>
          <w:rFonts w:hint="eastAsia" w:ascii="宋体" w:hAnsi="宋体" w:cs="宋体"/>
          <w:highlight w:val="yellow"/>
        </w:rPr>
        <w:t>年</w:t>
      </w:r>
      <w:r>
        <w:rPr>
          <w:rFonts w:hint="eastAsia" w:ascii="宋体" w:hAnsi="宋体" w:cs="宋体"/>
          <w:highlight w:val="yellow"/>
          <w:lang w:val="en-US" w:eastAsia="zh-CN"/>
        </w:rPr>
        <w:t>5</w:t>
      </w:r>
      <w:r>
        <w:rPr>
          <w:rFonts w:hint="eastAsia" w:ascii="宋体" w:hAnsi="宋体" w:cs="宋体"/>
          <w:highlight w:val="yellow"/>
        </w:rPr>
        <w:t>月</w:t>
      </w:r>
      <w:r>
        <w:rPr>
          <w:rFonts w:hint="eastAsia" w:ascii="宋体" w:hAnsi="宋体" w:cs="宋体"/>
          <w:highlight w:val="yellow"/>
          <w:lang w:val="en-US" w:eastAsia="zh-CN"/>
        </w:rPr>
        <w:t>20日</w:t>
      </w:r>
      <w:r>
        <w:rPr>
          <w:rFonts w:hint="eastAsia" w:ascii="宋体" w:hAnsi="宋体" w:cs="宋体"/>
          <w:highlight w:val="yellow"/>
        </w:rPr>
        <w:t>工程开始施工，20</w:t>
      </w:r>
      <w:r>
        <w:rPr>
          <w:rFonts w:hint="eastAsia" w:ascii="宋体" w:hAnsi="宋体" w:cs="宋体"/>
          <w:highlight w:val="yellow"/>
          <w:lang w:val="en-US" w:eastAsia="zh-CN"/>
        </w:rPr>
        <w:t>22</w:t>
      </w:r>
      <w:r>
        <w:rPr>
          <w:rFonts w:hint="eastAsia" w:ascii="宋体" w:hAnsi="宋体" w:cs="宋体"/>
          <w:highlight w:val="yellow"/>
        </w:rPr>
        <w:t>年</w:t>
      </w:r>
      <w:r>
        <w:rPr>
          <w:rFonts w:hint="eastAsia" w:ascii="宋体" w:hAnsi="宋体" w:cs="宋体"/>
          <w:highlight w:val="yellow"/>
          <w:lang w:val="en-US" w:eastAsia="zh-CN"/>
        </w:rPr>
        <w:t>8</w:t>
      </w:r>
      <w:r>
        <w:rPr>
          <w:rFonts w:hint="eastAsia" w:ascii="宋体" w:hAnsi="宋体" w:cs="宋体"/>
          <w:highlight w:val="yellow"/>
        </w:rPr>
        <w:t>月</w:t>
      </w:r>
      <w:r>
        <w:rPr>
          <w:rFonts w:hint="eastAsia" w:ascii="宋体" w:hAnsi="宋体" w:cs="宋体"/>
          <w:highlight w:val="yellow"/>
          <w:lang w:val="en-US" w:eastAsia="zh-CN"/>
        </w:rPr>
        <w:t>31</w:t>
      </w:r>
      <w:r>
        <w:rPr>
          <w:rFonts w:hint="eastAsia" w:ascii="宋体" w:hAnsi="宋体" w:cs="宋体"/>
          <w:highlight w:val="yellow"/>
        </w:rPr>
        <w:t>日前完成全部</w:t>
      </w:r>
      <w:r>
        <w:rPr>
          <w:rFonts w:hint="eastAsia" w:ascii="宋体" w:hAnsi="宋体" w:eastAsia="宋体" w:cs="宋体"/>
          <w:b w:val="0"/>
          <w:bCs w:val="0"/>
          <w:sz w:val="21"/>
          <w:szCs w:val="21"/>
          <w:highlight w:val="yellow"/>
          <w:lang w:val="en-US" w:eastAsia="zh-CN"/>
        </w:rPr>
        <w:t>工程。</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2.</w:t>
      </w:r>
      <w:r>
        <w:rPr>
          <w:rFonts w:hint="eastAsia" w:ascii="宋体" w:hAnsi="宋体" w:cs="宋体"/>
        </w:rPr>
        <w:t xml:space="preserve">4 </w:t>
      </w:r>
      <w:r>
        <w:rPr>
          <w:rFonts w:hint="eastAsia" w:ascii="宋体" w:hAnsi="宋体" w:cs="宋体"/>
          <w:lang w:val="zh-CN"/>
        </w:rPr>
        <w:t>质量目标</w:t>
      </w:r>
    </w:p>
    <w:p>
      <w:pPr>
        <w:snapToGrid w:val="0"/>
        <w:spacing w:line="360" w:lineRule="auto"/>
        <w:rPr>
          <w:rFonts w:hint="eastAsia" w:ascii="宋体" w:hAnsi="宋体" w:cs="宋体"/>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施工和完成的工程应遵守</w:t>
      </w:r>
      <w:r>
        <w:rPr>
          <w:rFonts w:hint="eastAsia" w:ascii="宋体" w:hAnsi="宋体" w:cs="宋体"/>
          <w:lang w:val="en-US" w:eastAsia="zh-CN"/>
        </w:rPr>
        <w:t>国家</w:t>
      </w:r>
      <w:r>
        <w:rPr>
          <w:rFonts w:hint="eastAsia" w:ascii="宋体" w:hAnsi="宋体" w:cs="宋体"/>
        </w:rPr>
        <w:t>的规范、技术标准、建筑、施工和环保规定及有关类似容量、范围及性质的发电厂的规定。在签订合同后，如果国内的规范、技术标准或规定作了重大修改，或颁行新的国家规范标准，则施工单位应遵守新的改变。</w:t>
      </w:r>
    </w:p>
    <w:p>
      <w:pPr>
        <w:autoSpaceDE w:val="0"/>
        <w:autoSpaceDN w:val="0"/>
        <w:adjustRightInd w:val="0"/>
        <w:spacing w:line="360" w:lineRule="exact"/>
        <w:ind w:firstLine="420"/>
        <w:rPr>
          <w:rFonts w:hint="eastAsia" w:ascii="宋体" w:hAnsi="宋体" w:cs="宋体"/>
        </w:rPr>
      </w:pPr>
      <w:r>
        <w:rPr>
          <w:rFonts w:hint="eastAsia" w:ascii="宋体" w:hAnsi="宋体" w:cs="宋体"/>
        </w:rPr>
        <w:t>本工程质量必须全面达到国家和电力行业颁布的优良标准，高水平达标投产。招标人鼓励投标人提出更高的质量标准，并在工程中实施。</w:t>
      </w:r>
    </w:p>
    <w:p>
      <w:pPr>
        <w:autoSpaceDE w:val="0"/>
        <w:autoSpaceDN w:val="0"/>
        <w:adjustRightInd w:val="0"/>
        <w:spacing w:line="360" w:lineRule="exact"/>
        <w:ind w:firstLine="420"/>
        <w:rPr>
          <w:rFonts w:hint="eastAsia" w:ascii="宋体" w:hAnsi="宋体" w:cs="宋体"/>
        </w:rPr>
      </w:pPr>
      <w:r>
        <w:rPr>
          <w:rFonts w:hint="eastAsia" w:ascii="宋体" w:hAnsi="宋体" w:cs="宋体"/>
        </w:rPr>
        <w:t>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numPr>
          <w:ilvl w:val="0"/>
          <w:numId w:val="1"/>
        </w:numPr>
        <w:autoSpaceDE w:val="0"/>
        <w:autoSpaceDN w:val="0"/>
        <w:adjustRightInd w:val="0"/>
        <w:spacing w:line="360" w:lineRule="exact"/>
        <w:ind w:firstLine="420"/>
        <w:rPr>
          <w:rFonts w:hint="eastAsia" w:ascii="宋体" w:hAnsi="宋体" w:cs="宋体"/>
          <w:lang w:val="zh-CN"/>
        </w:rPr>
      </w:pPr>
      <w:r>
        <w:rPr>
          <w:rFonts w:hint="eastAsia" w:ascii="宋体" w:hAnsi="宋体" w:cs="宋体"/>
          <w:lang w:val="zh-CN"/>
        </w:rPr>
        <w:t>主控项目:</w:t>
      </w:r>
    </w:p>
    <w:p>
      <w:pPr>
        <w:numPr>
          <w:ilvl w:val="0"/>
          <w:numId w:val="0"/>
        </w:numPr>
        <w:autoSpaceDE w:val="0"/>
        <w:autoSpaceDN w:val="0"/>
        <w:adjustRightInd w:val="0"/>
        <w:spacing w:line="360" w:lineRule="exact"/>
        <w:rPr>
          <w:rFonts w:hint="eastAsia" w:ascii="宋体" w:hAnsi="宋体" w:cs="宋体"/>
          <w:lang w:val="zh-CN"/>
        </w:rPr>
      </w:pPr>
      <w:r>
        <w:rPr>
          <w:rFonts w:hint="eastAsia" w:ascii="宋体" w:hAnsi="宋体" w:cs="宋体"/>
          <w:lang w:val="zh-CN"/>
        </w:rPr>
        <w:t>    施工所用材料的品种、型号和性能符合设计要求和施工及验收规范的规定，</w:t>
      </w:r>
      <w:r>
        <w:rPr>
          <w:rFonts w:hint="eastAsia" w:ascii="宋体" w:hAnsi="宋体" w:cs="宋体"/>
          <w:lang w:val="en-US" w:eastAsia="zh-CN"/>
        </w:rPr>
        <w:t>必须采用国家知名品牌的材料</w:t>
      </w:r>
      <w:r>
        <w:rPr>
          <w:rFonts w:hint="eastAsia" w:ascii="宋体" w:hAnsi="宋体" w:cs="宋体"/>
          <w:lang w:val="zh-CN"/>
        </w:rPr>
        <w:t>。</w:t>
      </w:r>
    </w:p>
    <w:tbl>
      <w:tblPr>
        <w:tblStyle w:val="8"/>
        <w:tblW w:w="10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65"/>
        <w:gridCol w:w="338"/>
        <w:gridCol w:w="789"/>
        <w:gridCol w:w="831"/>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43" w:hRule="atLeast"/>
          <w:jc w:val="center"/>
        </w:trPr>
        <w:tc>
          <w:tcPr>
            <w:tcW w:w="265" w:type="dxa"/>
            <w:noWrap w:val="0"/>
            <w:vAlign w:val="center"/>
          </w:tcPr>
          <w:p>
            <w:pPr>
              <w:jc w:val="center"/>
              <w:rPr>
                <w:rFonts w:hint="eastAsia"/>
                <w:sz w:val="18"/>
                <w:szCs w:val="20"/>
              </w:rPr>
            </w:pPr>
            <w:r>
              <w:rPr>
                <w:rFonts w:hint="eastAsia"/>
                <w:sz w:val="18"/>
                <w:szCs w:val="20"/>
              </w:rPr>
              <w:t>类别</w:t>
            </w:r>
          </w:p>
        </w:tc>
        <w:tc>
          <w:tcPr>
            <w:tcW w:w="338" w:type="dxa"/>
            <w:noWrap w:val="0"/>
            <w:vAlign w:val="center"/>
          </w:tcPr>
          <w:p>
            <w:pPr>
              <w:jc w:val="center"/>
              <w:rPr>
                <w:rFonts w:hint="eastAsia"/>
                <w:sz w:val="18"/>
                <w:szCs w:val="20"/>
              </w:rPr>
            </w:pPr>
            <w:r>
              <w:rPr>
                <w:rFonts w:hint="eastAsia"/>
                <w:sz w:val="18"/>
                <w:szCs w:val="20"/>
              </w:rPr>
              <w:t>序号</w:t>
            </w:r>
          </w:p>
        </w:tc>
        <w:tc>
          <w:tcPr>
            <w:tcW w:w="1620" w:type="dxa"/>
            <w:gridSpan w:val="2"/>
            <w:noWrap w:val="0"/>
            <w:vAlign w:val="center"/>
          </w:tcPr>
          <w:p>
            <w:pPr>
              <w:pStyle w:val="5"/>
              <w:pBdr>
                <w:bottom w:val="none" w:color="auto" w:sz="0" w:space="0"/>
              </w:pBdr>
              <w:tabs>
                <w:tab w:val="clear" w:pos="4153"/>
                <w:tab w:val="clear" w:pos="8306"/>
              </w:tabs>
              <w:snapToGrid/>
              <w:rPr>
                <w:rFonts w:hint="eastAsia"/>
                <w:szCs w:val="24"/>
              </w:rPr>
            </w:pPr>
            <w:r>
              <w:rPr>
                <w:rFonts w:hint="eastAsia"/>
                <w:szCs w:val="24"/>
              </w:rPr>
              <w:t>检查项目</w:t>
            </w:r>
          </w:p>
        </w:tc>
        <w:tc>
          <w:tcPr>
            <w:tcW w:w="2410" w:type="dxa"/>
            <w:noWrap w:val="0"/>
            <w:vAlign w:val="center"/>
          </w:tcPr>
          <w:p>
            <w:pPr>
              <w:jc w:val="center"/>
              <w:rPr>
                <w:rFonts w:hint="eastAsia"/>
                <w:sz w:val="18"/>
                <w:szCs w:val="20"/>
              </w:rPr>
            </w:pPr>
            <w:r>
              <w:rPr>
                <w:rFonts w:hint="eastAsia"/>
                <w:sz w:val="18"/>
                <w:szCs w:val="20"/>
              </w:rPr>
              <w:t>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265" w:type="dxa"/>
            <w:vMerge w:val="restart"/>
            <w:noWrap w:val="0"/>
            <w:vAlign w:val="center"/>
          </w:tcPr>
          <w:p>
            <w:pPr>
              <w:snapToGrid w:val="0"/>
              <w:jc w:val="center"/>
              <w:rPr>
                <w:rFonts w:hint="eastAsia"/>
                <w:sz w:val="18"/>
                <w:szCs w:val="18"/>
              </w:rPr>
            </w:pPr>
            <w:r>
              <w:rPr>
                <w:rFonts w:hint="eastAsia"/>
                <w:sz w:val="18"/>
                <w:szCs w:val="18"/>
              </w:rPr>
              <w:t>主控项目</w:t>
            </w:r>
          </w:p>
        </w:tc>
        <w:tc>
          <w:tcPr>
            <w:tcW w:w="338" w:type="dxa"/>
            <w:noWrap w:val="0"/>
            <w:vAlign w:val="center"/>
          </w:tcPr>
          <w:p>
            <w:pPr>
              <w:snapToGrid w:val="0"/>
              <w:jc w:val="center"/>
              <w:rPr>
                <w:rFonts w:hint="eastAsia"/>
                <w:sz w:val="18"/>
                <w:szCs w:val="18"/>
              </w:rPr>
            </w:pPr>
            <w:r>
              <w:rPr>
                <w:rFonts w:hint="eastAsia"/>
                <w:sz w:val="18"/>
                <w:szCs w:val="18"/>
              </w:rPr>
              <w:t>1</w:t>
            </w:r>
          </w:p>
        </w:tc>
        <w:tc>
          <w:tcPr>
            <w:tcW w:w="1620" w:type="dxa"/>
            <w:gridSpan w:val="2"/>
            <w:noWrap w:val="0"/>
            <w:vAlign w:val="center"/>
          </w:tcPr>
          <w:p>
            <w:pPr>
              <w:tabs>
                <w:tab w:val="left" w:pos="806"/>
              </w:tabs>
              <w:snapToGrid w:val="0"/>
              <w:jc w:val="center"/>
              <w:rPr>
                <w:rFonts w:hint="eastAsia"/>
                <w:sz w:val="18"/>
                <w:szCs w:val="18"/>
              </w:rPr>
            </w:pPr>
            <w:r>
              <w:rPr>
                <w:rFonts w:hint="eastAsia"/>
                <w:sz w:val="18"/>
                <w:szCs w:val="18"/>
              </w:rPr>
              <w:t>系统的测定和调整☆</w:t>
            </w:r>
          </w:p>
        </w:tc>
        <w:tc>
          <w:tcPr>
            <w:tcW w:w="2410" w:type="dxa"/>
            <w:noWrap w:val="0"/>
            <w:vAlign w:val="center"/>
          </w:tcPr>
          <w:p>
            <w:pPr>
              <w:tabs>
                <w:tab w:val="left" w:pos="806"/>
              </w:tabs>
              <w:snapToGrid w:val="0"/>
              <w:rPr>
                <w:rFonts w:hint="eastAsia"/>
                <w:sz w:val="18"/>
                <w:szCs w:val="18"/>
              </w:rPr>
            </w:pPr>
            <w:r>
              <w:rPr>
                <w:rFonts w:hint="eastAsia"/>
                <w:sz w:val="18"/>
                <w:szCs w:val="18"/>
              </w:rPr>
              <w:t>通风与空调工程安装完毕，必须进行系统的测定和调整（简称调试）。系统调试应包括下列项目：</w:t>
            </w:r>
          </w:p>
          <w:p>
            <w:pPr>
              <w:tabs>
                <w:tab w:val="left" w:pos="806"/>
              </w:tabs>
              <w:snapToGrid w:val="0"/>
              <w:rPr>
                <w:rFonts w:hint="eastAsia"/>
                <w:sz w:val="18"/>
                <w:szCs w:val="18"/>
              </w:rPr>
            </w:pPr>
            <w:r>
              <w:rPr>
                <w:rFonts w:hint="eastAsia"/>
                <w:sz w:val="18"/>
                <w:szCs w:val="18"/>
              </w:rPr>
              <w:t>（1）设备单机试运转及调试；</w:t>
            </w:r>
          </w:p>
          <w:p>
            <w:pPr>
              <w:tabs>
                <w:tab w:val="left" w:pos="806"/>
              </w:tabs>
              <w:snapToGrid w:val="0"/>
              <w:rPr>
                <w:rFonts w:hint="eastAsia"/>
                <w:sz w:val="18"/>
                <w:szCs w:val="18"/>
              </w:rPr>
            </w:pPr>
            <w:r>
              <w:rPr>
                <w:rFonts w:hint="eastAsia"/>
                <w:sz w:val="18"/>
                <w:szCs w:val="18"/>
              </w:rPr>
              <w:t>（2）系统无生产负荷下的联合试运转及调试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3" w:hRule="atLeast"/>
          <w:jc w:val="center"/>
        </w:trPr>
        <w:tc>
          <w:tcPr>
            <w:tcW w:w="265" w:type="dxa"/>
            <w:vMerge w:val="continue"/>
            <w:noWrap w:val="0"/>
            <w:vAlign w:val="center"/>
          </w:tcPr>
          <w:p>
            <w:pPr>
              <w:snapToGrid w:val="0"/>
              <w:jc w:val="center"/>
              <w:rPr>
                <w:rFonts w:hint="eastAsia"/>
                <w:sz w:val="18"/>
                <w:szCs w:val="18"/>
              </w:rPr>
            </w:pPr>
          </w:p>
        </w:tc>
        <w:tc>
          <w:tcPr>
            <w:tcW w:w="338" w:type="dxa"/>
            <w:noWrap w:val="0"/>
            <w:vAlign w:val="center"/>
          </w:tcPr>
          <w:p>
            <w:pPr>
              <w:snapToGrid w:val="0"/>
              <w:jc w:val="center"/>
              <w:rPr>
                <w:rFonts w:hint="eastAsia" w:ascii="宋体" w:hAnsi="宋体"/>
                <w:color w:val="FF0000"/>
                <w:sz w:val="18"/>
                <w:szCs w:val="18"/>
              </w:rPr>
            </w:pPr>
            <w:r>
              <w:rPr>
                <w:rFonts w:hint="eastAsia"/>
                <w:sz w:val="18"/>
                <w:szCs w:val="18"/>
              </w:rPr>
              <w:t>2</w:t>
            </w:r>
          </w:p>
        </w:tc>
        <w:tc>
          <w:tcPr>
            <w:tcW w:w="1620" w:type="dxa"/>
            <w:gridSpan w:val="2"/>
            <w:noWrap w:val="0"/>
            <w:vAlign w:val="center"/>
          </w:tcPr>
          <w:p>
            <w:pPr>
              <w:pStyle w:val="5"/>
              <w:pBdr>
                <w:bottom w:val="none" w:color="auto" w:sz="0" w:space="0"/>
              </w:pBdr>
              <w:tabs>
                <w:tab w:val="clear" w:pos="4153"/>
                <w:tab w:val="clear" w:pos="8306"/>
              </w:tabs>
              <w:rPr>
                <w:rFonts w:hint="eastAsia" w:ascii="宋体" w:hAnsi="宋体"/>
                <w:bCs/>
                <w:color w:val="000000"/>
              </w:rPr>
            </w:pPr>
            <w:r>
              <w:rPr>
                <w:rFonts w:hint="eastAsia" w:ascii="宋体" w:hAnsi="宋体"/>
                <w:bCs/>
                <w:color w:val="000000"/>
              </w:rPr>
              <w:t>防、排系统调试☆</w:t>
            </w:r>
          </w:p>
        </w:tc>
        <w:tc>
          <w:tcPr>
            <w:tcW w:w="2410" w:type="dxa"/>
            <w:noWrap w:val="0"/>
            <w:vAlign w:val="center"/>
          </w:tcPr>
          <w:p>
            <w:pPr>
              <w:snapToGrid w:val="0"/>
              <w:spacing w:line="210" w:lineRule="exact"/>
              <w:ind w:left="53" w:leftChars="25" w:right="53" w:rightChars="25"/>
              <w:rPr>
                <w:rFonts w:hint="eastAsia" w:ascii="宋体" w:hAnsi="宋体"/>
                <w:color w:val="000000"/>
                <w:sz w:val="18"/>
                <w:szCs w:val="18"/>
              </w:rPr>
            </w:pPr>
            <w:r>
              <w:rPr>
                <w:rFonts w:hint="eastAsia" w:ascii="宋体" w:hAnsi="宋体"/>
                <w:color w:val="000000"/>
                <w:sz w:val="18"/>
                <w:szCs w:val="18"/>
              </w:rPr>
              <w:t>防排烟系统联合试运行与调试的结果（风量及正压），必须符合设计与消防的规定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765" w:hRule="atLeast"/>
          <w:jc w:val="center"/>
        </w:trPr>
        <w:tc>
          <w:tcPr>
            <w:tcW w:w="265" w:type="dxa"/>
            <w:vMerge w:val="continue"/>
            <w:noWrap w:val="0"/>
            <w:vAlign w:val="center"/>
          </w:tcPr>
          <w:p>
            <w:pPr>
              <w:snapToGrid w:val="0"/>
              <w:jc w:val="center"/>
              <w:rPr>
                <w:rFonts w:hint="eastAsia" w:ascii="宋体" w:hAnsi="宋体"/>
                <w:sz w:val="18"/>
                <w:szCs w:val="18"/>
              </w:rPr>
            </w:pPr>
          </w:p>
        </w:tc>
        <w:tc>
          <w:tcPr>
            <w:tcW w:w="338" w:type="dxa"/>
            <w:vMerge w:val="restart"/>
            <w:noWrap w:val="0"/>
            <w:vAlign w:val="center"/>
          </w:tcPr>
          <w:p>
            <w:pPr>
              <w:snapToGrid w:val="0"/>
              <w:jc w:val="center"/>
              <w:rPr>
                <w:rFonts w:hint="eastAsia"/>
                <w:sz w:val="18"/>
                <w:szCs w:val="18"/>
              </w:rPr>
            </w:pPr>
            <w:r>
              <w:rPr>
                <w:rFonts w:hint="eastAsia"/>
                <w:sz w:val="18"/>
                <w:szCs w:val="18"/>
              </w:rPr>
              <w:t>3</w:t>
            </w:r>
          </w:p>
        </w:tc>
        <w:tc>
          <w:tcPr>
            <w:tcW w:w="789" w:type="dxa"/>
            <w:vMerge w:val="restart"/>
            <w:noWrap w:val="0"/>
            <w:vAlign w:val="center"/>
          </w:tcPr>
          <w:p>
            <w:pPr>
              <w:snapToGrid w:val="0"/>
              <w:jc w:val="center"/>
              <w:rPr>
                <w:rFonts w:hint="eastAsia" w:ascii="宋体" w:hAnsi="宋体"/>
                <w:color w:val="000000"/>
                <w:sz w:val="18"/>
                <w:szCs w:val="18"/>
              </w:rPr>
            </w:pPr>
            <w:r>
              <w:rPr>
                <w:rFonts w:hint="eastAsia" w:ascii="宋体" w:hAnsi="宋体"/>
                <w:color w:val="000000"/>
                <w:sz w:val="18"/>
                <w:szCs w:val="18"/>
              </w:rPr>
              <w:t>单机试运转及调试</w:t>
            </w:r>
          </w:p>
        </w:tc>
        <w:tc>
          <w:tcPr>
            <w:tcW w:w="831" w:type="dxa"/>
            <w:noWrap w:val="0"/>
            <w:vAlign w:val="center"/>
          </w:tcPr>
          <w:p>
            <w:pPr>
              <w:snapToGrid w:val="0"/>
              <w:spacing w:line="210" w:lineRule="exact"/>
              <w:ind w:left="53" w:leftChars="25" w:right="53" w:rightChars="25"/>
              <w:rPr>
                <w:rFonts w:hint="eastAsia" w:ascii="宋体" w:hAnsi="宋体"/>
                <w:color w:val="000000"/>
                <w:sz w:val="18"/>
                <w:szCs w:val="18"/>
              </w:rPr>
            </w:pPr>
            <w:r>
              <w:rPr>
                <w:rFonts w:hint="eastAsia" w:ascii="宋体" w:hAnsi="宋体"/>
                <w:color w:val="000000"/>
                <w:sz w:val="18"/>
                <w:szCs w:val="18"/>
              </w:rPr>
              <w:t>通风机、空调机组单机试运转及调试</w:t>
            </w:r>
          </w:p>
        </w:tc>
        <w:tc>
          <w:tcPr>
            <w:tcW w:w="2410" w:type="dxa"/>
            <w:noWrap w:val="0"/>
            <w:vAlign w:val="center"/>
          </w:tcPr>
          <w:p>
            <w:pPr>
              <w:snapToGrid w:val="0"/>
              <w:spacing w:line="210" w:lineRule="exact"/>
              <w:ind w:left="53" w:leftChars="25" w:right="53" w:rightChars="25"/>
              <w:rPr>
                <w:rFonts w:ascii="宋体" w:hAnsi="宋体"/>
                <w:color w:val="000000"/>
                <w:sz w:val="18"/>
                <w:szCs w:val="18"/>
              </w:rPr>
            </w:pPr>
            <w:r>
              <w:rPr>
                <w:rFonts w:hint="eastAsia" w:ascii="宋体" w:hAnsi="宋体"/>
                <w:color w:val="000000"/>
                <w:sz w:val="18"/>
                <w:szCs w:val="18"/>
              </w:rPr>
              <w:t>叶轮旋转方向正确、运转平稳、无异常振动与声响，电机运行功率符合设备技术文件的规定。在额定转速成下连续运转2小时后，滑动轴承外壳最高温度不得超过70℃；滚动轴承不得超过80℃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86" w:hRule="atLeast"/>
          <w:jc w:val="center"/>
        </w:trPr>
        <w:tc>
          <w:tcPr>
            <w:tcW w:w="265" w:type="dxa"/>
            <w:vMerge w:val="continue"/>
            <w:noWrap w:val="0"/>
            <w:vAlign w:val="center"/>
          </w:tcPr>
          <w:p>
            <w:pPr>
              <w:snapToGrid w:val="0"/>
              <w:jc w:val="center"/>
              <w:rPr>
                <w:rFonts w:hint="eastAsia" w:ascii="宋体" w:hAnsi="宋体"/>
                <w:sz w:val="18"/>
                <w:szCs w:val="18"/>
              </w:rPr>
            </w:pPr>
          </w:p>
        </w:tc>
        <w:tc>
          <w:tcPr>
            <w:tcW w:w="338" w:type="dxa"/>
            <w:vMerge w:val="continue"/>
            <w:noWrap w:val="0"/>
            <w:vAlign w:val="center"/>
          </w:tcPr>
          <w:p>
            <w:pPr>
              <w:snapToGrid w:val="0"/>
              <w:jc w:val="center"/>
              <w:rPr>
                <w:rFonts w:hint="eastAsia"/>
                <w:sz w:val="18"/>
                <w:szCs w:val="18"/>
              </w:rPr>
            </w:pPr>
          </w:p>
        </w:tc>
        <w:tc>
          <w:tcPr>
            <w:tcW w:w="789" w:type="dxa"/>
            <w:vMerge w:val="continue"/>
            <w:noWrap w:val="0"/>
            <w:vAlign w:val="center"/>
          </w:tcPr>
          <w:p>
            <w:pPr>
              <w:snapToGrid w:val="0"/>
              <w:jc w:val="center"/>
              <w:rPr>
                <w:rFonts w:hint="eastAsia" w:ascii="宋体" w:hAnsi="宋体"/>
                <w:color w:val="000000"/>
                <w:sz w:val="18"/>
                <w:szCs w:val="18"/>
              </w:rPr>
            </w:pPr>
          </w:p>
        </w:tc>
        <w:tc>
          <w:tcPr>
            <w:tcW w:w="831" w:type="dxa"/>
            <w:noWrap w:val="0"/>
            <w:vAlign w:val="center"/>
          </w:tcPr>
          <w:p>
            <w:pPr>
              <w:snapToGrid w:val="0"/>
              <w:spacing w:line="210" w:lineRule="exact"/>
              <w:ind w:left="53" w:leftChars="25" w:right="53" w:rightChars="25"/>
              <w:rPr>
                <w:rFonts w:hint="eastAsia" w:ascii="宋体" w:hAnsi="宋体"/>
                <w:color w:val="000000"/>
                <w:sz w:val="18"/>
                <w:szCs w:val="18"/>
              </w:rPr>
            </w:pPr>
            <w:r>
              <w:rPr>
                <w:rFonts w:hint="eastAsia" w:ascii="宋体" w:hAnsi="宋体"/>
                <w:color w:val="000000"/>
                <w:sz w:val="18"/>
                <w:szCs w:val="18"/>
              </w:rPr>
              <w:t>电控防、排烟阀的动作试验</w:t>
            </w:r>
          </w:p>
        </w:tc>
        <w:tc>
          <w:tcPr>
            <w:tcW w:w="2410" w:type="dxa"/>
            <w:noWrap w:val="0"/>
            <w:vAlign w:val="center"/>
          </w:tcPr>
          <w:p>
            <w:pPr>
              <w:snapToGrid w:val="0"/>
              <w:spacing w:line="210" w:lineRule="exact"/>
              <w:ind w:left="53" w:leftChars="25" w:right="53" w:rightChars="25"/>
              <w:rPr>
                <w:rFonts w:ascii="宋体" w:hAnsi="宋体"/>
                <w:color w:val="000000"/>
                <w:sz w:val="18"/>
                <w:szCs w:val="18"/>
              </w:rPr>
            </w:pPr>
            <w:r>
              <w:rPr>
                <w:rFonts w:hint="eastAsia" w:ascii="宋体" w:hAnsi="宋体"/>
                <w:color w:val="000000"/>
                <w:sz w:val="18"/>
                <w:szCs w:val="18"/>
              </w:rPr>
              <w:t>电控防火、防排烟风阀（口）的手动、电动操作应灵活、可靠，信号输出正确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4" w:hRule="atLeast"/>
          <w:jc w:val="center"/>
        </w:trPr>
        <w:tc>
          <w:tcPr>
            <w:tcW w:w="265" w:type="dxa"/>
            <w:vMerge w:val="continue"/>
            <w:noWrap w:val="0"/>
            <w:vAlign w:val="center"/>
          </w:tcPr>
          <w:p>
            <w:pPr>
              <w:snapToGrid w:val="0"/>
              <w:jc w:val="center"/>
              <w:rPr>
                <w:rFonts w:hint="eastAsia" w:ascii="宋体" w:hAnsi="宋体"/>
                <w:sz w:val="18"/>
                <w:szCs w:val="18"/>
              </w:rPr>
            </w:pPr>
          </w:p>
        </w:tc>
        <w:tc>
          <w:tcPr>
            <w:tcW w:w="338" w:type="dxa"/>
            <w:vMerge w:val="restart"/>
            <w:noWrap w:val="0"/>
            <w:vAlign w:val="center"/>
          </w:tcPr>
          <w:p>
            <w:pPr>
              <w:snapToGrid w:val="0"/>
              <w:jc w:val="center"/>
              <w:rPr>
                <w:rFonts w:hint="eastAsia"/>
                <w:sz w:val="18"/>
                <w:szCs w:val="18"/>
              </w:rPr>
            </w:pPr>
            <w:r>
              <w:rPr>
                <w:rFonts w:hint="eastAsia"/>
                <w:sz w:val="18"/>
                <w:szCs w:val="18"/>
              </w:rPr>
              <w:t>4</w:t>
            </w:r>
          </w:p>
        </w:tc>
        <w:tc>
          <w:tcPr>
            <w:tcW w:w="789" w:type="dxa"/>
            <w:vMerge w:val="restart"/>
            <w:noWrap w:val="0"/>
            <w:vAlign w:val="center"/>
          </w:tcPr>
          <w:p>
            <w:pPr>
              <w:snapToGrid w:val="0"/>
              <w:jc w:val="center"/>
              <w:rPr>
                <w:rFonts w:hint="eastAsia" w:ascii="宋体" w:hAnsi="宋体"/>
                <w:color w:val="000000"/>
                <w:sz w:val="18"/>
                <w:szCs w:val="18"/>
              </w:rPr>
            </w:pPr>
            <w:r>
              <w:rPr>
                <w:rFonts w:hint="eastAsia" w:ascii="宋体" w:hAnsi="宋体"/>
                <w:color w:val="000000"/>
                <w:sz w:val="18"/>
                <w:szCs w:val="18"/>
              </w:rPr>
              <w:t>无负荷联合试运转及调试</w:t>
            </w:r>
          </w:p>
        </w:tc>
        <w:tc>
          <w:tcPr>
            <w:tcW w:w="831" w:type="dxa"/>
            <w:noWrap w:val="0"/>
            <w:vAlign w:val="center"/>
          </w:tcPr>
          <w:p>
            <w:pPr>
              <w:pStyle w:val="5"/>
              <w:pBdr>
                <w:bottom w:val="none" w:color="auto" w:sz="0" w:space="0"/>
              </w:pBdr>
              <w:tabs>
                <w:tab w:val="clear" w:pos="4153"/>
                <w:tab w:val="clear" w:pos="8306"/>
              </w:tabs>
              <w:jc w:val="both"/>
              <w:rPr>
                <w:rFonts w:hint="eastAsia" w:ascii="宋体" w:hAnsi="宋体"/>
                <w:color w:val="000000"/>
              </w:rPr>
            </w:pPr>
            <w:r>
              <w:rPr>
                <w:rFonts w:hint="eastAsia" w:ascii="宋体" w:hAnsi="宋体"/>
                <w:color w:val="000000"/>
              </w:rPr>
              <w:t>系统风量的调试</w:t>
            </w:r>
          </w:p>
        </w:tc>
        <w:tc>
          <w:tcPr>
            <w:tcW w:w="2410" w:type="dxa"/>
            <w:noWrap w:val="0"/>
            <w:vAlign w:val="center"/>
          </w:tcPr>
          <w:p>
            <w:pPr>
              <w:snapToGrid w:val="0"/>
              <w:spacing w:line="210" w:lineRule="exact"/>
              <w:ind w:left="53" w:leftChars="25" w:right="53" w:rightChars="25"/>
              <w:rPr>
                <w:rFonts w:hint="eastAsia" w:ascii="宋体" w:hAnsi="宋体"/>
                <w:color w:val="000000"/>
                <w:sz w:val="18"/>
                <w:szCs w:val="18"/>
              </w:rPr>
            </w:pPr>
            <w:r>
              <w:rPr>
                <w:rFonts w:hint="eastAsia" w:ascii="宋体" w:hAnsi="宋体"/>
                <w:color w:val="000000"/>
                <w:sz w:val="18"/>
                <w:szCs w:val="18"/>
              </w:rPr>
              <w:t>系统总风量调试结果与设计风量的偏差不应大于10%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11" w:hRule="atLeast"/>
          <w:jc w:val="center"/>
        </w:trPr>
        <w:tc>
          <w:tcPr>
            <w:tcW w:w="265" w:type="dxa"/>
            <w:vMerge w:val="continue"/>
            <w:noWrap w:val="0"/>
            <w:vAlign w:val="center"/>
          </w:tcPr>
          <w:p>
            <w:pPr>
              <w:snapToGrid w:val="0"/>
              <w:jc w:val="center"/>
              <w:rPr>
                <w:rFonts w:hint="eastAsia" w:ascii="宋体" w:hAnsi="宋体"/>
                <w:sz w:val="18"/>
                <w:szCs w:val="18"/>
              </w:rPr>
            </w:pPr>
          </w:p>
        </w:tc>
        <w:tc>
          <w:tcPr>
            <w:tcW w:w="338" w:type="dxa"/>
            <w:vMerge w:val="continue"/>
            <w:noWrap w:val="0"/>
            <w:vAlign w:val="center"/>
          </w:tcPr>
          <w:p>
            <w:pPr>
              <w:snapToGrid w:val="0"/>
              <w:rPr>
                <w:rFonts w:hint="eastAsia" w:ascii="宋体" w:hAnsi="宋体"/>
                <w:color w:val="000000"/>
                <w:sz w:val="18"/>
                <w:szCs w:val="18"/>
              </w:rPr>
            </w:pPr>
          </w:p>
        </w:tc>
        <w:tc>
          <w:tcPr>
            <w:tcW w:w="789" w:type="dxa"/>
            <w:vMerge w:val="continue"/>
            <w:noWrap w:val="0"/>
            <w:vAlign w:val="center"/>
          </w:tcPr>
          <w:p>
            <w:pPr>
              <w:snapToGrid w:val="0"/>
              <w:rPr>
                <w:rFonts w:hint="eastAsia" w:ascii="宋体" w:hAnsi="宋体"/>
                <w:color w:val="000000"/>
                <w:sz w:val="18"/>
                <w:szCs w:val="18"/>
              </w:rPr>
            </w:pPr>
          </w:p>
        </w:tc>
        <w:tc>
          <w:tcPr>
            <w:tcW w:w="831" w:type="dxa"/>
            <w:noWrap w:val="0"/>
            <w:vAlign w:val="center"/>
          </w:tcPr>
          <w:p>
            <w:pPr>
              <w:pStyle w:val="5"/>
              <w:pBdr>
                <w:bottom w:val="none" w:color="auto" w:sz="0" w:space="0"/>
              </w:pBdr>
              <w:tabs>
                <w:tab w:val="clear" w:pos="4153"/>
                <w:tab w:val="clear" w:pos="8306"/>
              </w:tabs>
              <w:jc w:val="both"/>
              <w:rPr>
                <w:rFonts w:hint="eastAsia" w:ascii="宋体" w:hAnsi="宋体"/>
                <w:color w:val="000000"/>
              </w:rPr>
            </w:pPr>
            <w:r>
              <w:rPr>
                <w:rFonts w:hint="eastAsia" w:ascii="宋体" w:hAnsi="宋体"/>
                <w:color w:val="000000"/>
              </w:rPr>
              <w:t>空调温度、湿度测量</w:t>
            </w:r>
          </w:p>
        </w:tc>
        <w:tc>
          <w:tcPr>
            <w:tcW w:w="2410" w:type="dxa"/>
            <w:noWrap w:val="0"/>
            <w:vAlign w:val="center"/>
          </w:tcPr>
          <w:p>
            <w:pPr>
              <w:snapToGrid w:val="0"/>
              <w:spacing w:line="210" w:lineRule="exact"/>
              <w:ind w:left="53" w:leftChars="25" w:right="53" w:rightChars="25"/>
              <w:rPr>
                <w:rFonts w:hint="eastAsia" w:ascii="宋体" w:hAnsi="宋体"/>
                <w:color w:val="000000"/>
                <w:sz w:val="18"/>
                <w:szCs w:val="18"/>
              </w:rPr>
            </w:pPr>
            <w:r>
              <w:rPr>
                <w:rFonts w:hint="eastAsia" w:ascii="宋体" w:hAnsi="宋体"/>
                <w:color w:val="000000"/>
                <w:sz w:val="18"/>
                <w:szCs w:val="18"/>
              </w:rPr>
              <w:t>舒适空调的温度、相对湿度应符合设计的要求。恒温、恒湿房间室内空气温度、相对湿度及波动范围应符合设计规定</w:t>
            </w:r>
          </w:p>
        </w:tc>
      </w:tr>
    </w:tbl>
    <w:p>
      <w:pPr>
        <w:numPr>
          <w:ilvl w:val="0"/>
          <w:numId w:val="0"/>
        </w:numPr>
        <w:autoSpaceDE w:val="0"/>
        <w:autoSpaceDN w:val="0"/>
        <w:adjustRightInd w:val="0"/>
        <w:spacing w:line="360" w:lineRule="exact"/>
        <w:ind w:firstLine="420" w:firstLineChars="200"/>
        <w:rPr>
          <w:rFonts w:hint="eastAsia" w:ascii="宋体" w:hAnsi="宋体" w:cs="宋体"/>
          <w:lang w:val="zh-CN"/>
        </w:rPr>
      </w:pPr>
      <w:r>
        <w:rPr>
          <w:rFonts w:hint="eastAsia" w:ascii="宋体" w:hAnsi="宋体" w:cs="宋体"/>
          <w:lang w:val="zh-CN"/>
        </w:rPr>
        <w:t>2、一般项目:   </w:t>
      </w:r>
    </w:p>
    <w:tbl>
      <w:tblPr>
        <w:tblStyle w:val="8"/>
        <w:tblW w:w="10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65"/>
        <w:gridCol w:w="338"/>
        <w:gridCol w:w="789"/>
        <w:gridCol w:w="831"/>
        <w:gridCol w:w="2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0" w:hRule="atLeast"/>
          <w:jc w:val="center"/>
        </w:trPr>
        <w:tc>
          <w:tcPr>
            <w:tcW w:w="265" w:type="dxa"/>
            <w:vMerge w:val="restart"/>
            <w:noWrap w:val="0"/>
            <w:vAlign w:val="center"/>
          </w:tcPr>
          <w:p>
            <w:pPr>
              <w:snapToGrid w:val="0"/>
              <w:jc w:val="center"/>
              <w:rPr>
                <w:rFonts w:hint="eastAsia"/>
                <w:sz w:val="18"/>
                <w:szCs w:val="18"/>
              </w:rPr>
            </w:pPr>
            <w:r>
              <w:rPr>
                <w:rFonts w:hint="eastAsia"/>
                <w:sz w:val="18"/>
                <w:szCs w:val="18"/>
              </w:rPr>
              <w:t>一般项目</w:t>
            </w:r>
          </w:p>
        </w:tc>
        <w:tc>
          <w:tcPr>
            <w:tcW w:w="338" w:type="dxa"/>
            <w:vMerge w:val="restart"/>
            <w:noWrap w:val="0"/>
            <w:vAlign w:val="center"/>
          </w:tcPr>
          <w:p>
            <w:pPr>
              <w:snapToGrid w:val="0"/>
              <w:jc w:val="center"/>
              <w:rPr>
                <w:rFonts w:hint="eastAsia"/>
                <w:sz w:val="18"/>
                <w:szCs w:val="18"/>
              </w:rPr>
            </w:pPr>
            <w:r>
              <w:rPr>
                <w:rFonts w:hint="eastAsia"/>
                <w:sz w:val="18"/>
                <w:szCs w:val="18"/>
              </w:rPr>
              <w:t>1</w:t>
            </w:r>
          </w:p>
        </w:tc>
        <w:tc>
          <w:tcPr>
            <w:tcW w:w="789" w:type="dxa"/>
            <w:vMerge w:val="restart"/>
            <w:noWrap w:val="0"/>
            <w:vAlign w:val="center"/>
          </w:tcPr>
          <w:p>
            <w:pPr>
              <w:snapToGrid w:val="0"/>
              <w:jc w:val="center"/>
              <w:rPr>
                <w:rFonts w:hint="eastAsia"/>
                <w:sz w:val="18"/>
                <w:szCs w:val="18"/>
              </w:rPr>
            </w:pPr>
            <w:r>
              <w:rPr>
                <w:rFonts w:hint="eastAsia"/>
                <w:sz w:val="18"/>
                <w:szCs w:val="18"/>
              </w:rPr>
              <w:t>风机、空调机组单试运机转</w:t>
            </w:r>
          </w:p>
        </w:tc>
        <w:tc>
          <w:tcPr>
            <w:tcW w:w="831" w:type="dxa"/>
            <w:noWrap w:val="0"/>
            <w:vAlign w:val="center"/>
          </w:tcPr>
          <w:p>
            <w:pPr>
              <w:pStyle w:val="5"/>
              <w:pBdr>
                <w:bottom w:val="none" w:color="auto" w:sz="0" w:space="0"/>
              </w:pBdr>
              <w:tabs>
                <w:tab w:val="clear" w:pos="4153"/>
                <w:tab w:val="clear" w:pos="8306"/>
              </w:tabs>
              <w:rPr>
                <w:rFonts w:hint="eastAsia"/>
                <w:kern w:val="0"/>
              </w:rPr>
            </w:pPr>
            <w:r>
              <w:rPr>
                <w:rFonts w:hint="eastAsia"/>
                <w:kern w:val="0"/>
              </w:rPr>
              <w:t>噪声</w:t>
            </w:r>
          </w:p>
        </w:tc>
        <w:tc>
          <w:tcPr>
            <w:tcW w:w="2411" w:type="dxa"/>
            <w:noWrap w:val="0"/>
            <w:vAlign w:val="center"/>
          </w:tcPr>
          <w:p>
            <w:pPr>
              <w:snapToGrid w:val="0"/>
              <w:ind w:left="57" w:right="57"/>
              <w:jc w:val="center"/>
              <w:rPr>
                <w:rFonts w:hint="eastAsia"/>
                <w:sz w:val="18"/>
                <w:szCs w:val="18"/>
              </w:rPr>
            </w:pPr>
            <w:r>
              <w:rPr>
                <w:rFonts w:hint="eastAsia"/>
                <w:kern w:val="0"/>
                <w:sz w:val="18"/>
                <w:szCs w:val="18"/>
              </w:rPr>
              <w:t>不宜超过产品性能说明书的规定值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54" w:hRule="atLeast"/>
          <w:jc w:val="center"/>
        </w:trPr>
        <w:tc>
          <w:tcPr>
            <w:tcW w:w="265" w:type="dxa"/>
            <w:vMerge w:val="continue"/>
            <w:noWrap w:val="0"/>
            <w:vAlign w:val="center"/>
          </w:tcPr>
          <w:p>
            <w:pPr>
              <w:snapToGrid w:val="0"/>
              <w:jc w:val="center"/>
              <w:rPr>
                <w:rFonts w:hint="eastAsia"/>
                <w:sz w:val="18"/>
                <w:szCs w:val="18"/>
              </w:rPr>
            </w:pPr>
          </w:p>
        </w:tc>
        <w:tc>
          <w:tcPr>
            <w:tcW w:w="338" w:type="dxa"/>
            <w:vMerge w:val="continue"/>
            <w:noWrap w:val="0"/>
            <w:vAlign w:val="center"/>
          </w:tcPr>
          <w:p>
            <w:pPr>
              <w:snapToGrid w:val="0"/>
              <w:jc w:val="center"/>
              <w:rPr>
                <w:rFonts w:hint="eastAsia"/>
                <w:sz w:val="18"/>
                <w:szCs w:val="18"/>
              </w:rPr>
            </w:pPr>
          </w:p>
        </w:tc>
        <w:tc>
          <w:tcPr>
            <w:tcW w:w="789" w:type="dxa"/>
            <w:vMerge w:val="continue"/>
            <w:noWrap w:val="0"/>
            <w:vAlign w:val="center"/>
          </w:tcPr>
          <w:p>
            <w:pPr>
              <w:snapToGrid w:val="0"/>
              <w:rPr>
                <w:rFonts w:hint="eastAsia"/>
                <w:sz w:val="18"/>
                <w:szCs w:val="18"/>
              </w:rPr>
            </w:pPr>
          </w:p>
        </w:tc>
        <w:tc>
          <w:tcPr>
            <w:tcW w:w="831" w:type="dxa"/>
            <w:noWrap w:val="0"/>
            <w:vAlign w:val="center"/>
          </w:tcPr>
          <w:p>
            <w:pPr>
              <w:snapToGrid w:val="0"/>
              <w:rPr>
                <w:rFonts w:hint="eastAsia"/>
                <w:sz w:val="18"/>
                <w:szCs w:val="18"/>
              </w:rPr>
            </w:pPr>
            <w:r>
              <w:rPr>
                <w:rFonts w:hint="eastAsia"/>
                <w:kern w:val="0"/>
                <w:sz w:val="18"/>
                <w:szCs w:val="18"/>
              </w:rPr>
              <w:t>三速、温控开关</w:t>
            </w:r>
          </w:p>
        </w:tc>
        <w:tc>
          <w:tcPr>
            <w:tcW w:w="2411" w:type="dxa"/>
            <w:noWrap w:val="0"/>
            <w:vAlign w:val="center"/>
          </w:tcPr>
          <w:p>
            <w:pPr>
              <w:snapToGrid w:val="0"/>
              <w:ind w:left="57" w:right="57"/>
              <w:jc w:val="center"/>
              <w:rPr>
                <w:rFonts w:hint="eastAsia"/>
                <w:sz w:val="18"/>
                <w:szCs w:val="18"/>
              </w:rPr>
            </w:pPr>
            <w:r>
              <w:rPr>
                <w:rFonts w:hint="eastAsia"/>
                <w:kern w:val="0"/>
                <w:sz w:val="18"/>
                <w:szCs w:val="18"/>
              </w:rPr>
              <w:t>动作正确，并与机组运行状态一一对应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4" w:hRule="atLeast"/>
          <w:jc w:val="center"/>
        </w:trPr>
        <w:tc>
          <w:tcPr>
            <w:tcW w:w="265" w:type="dxa"/>
            <w:vMerge w:val="continue"/>
            <w:noWrap w:val="0"/>
            <w:vAlign w:val="center"/>
          </w:tcPr>
          <w:p>
            <w:pPr>
              <w:snapToGrid w:val="0"/>
              <w:jc w:val="center"/>
              <w:rPr>
                <w:rFonts w:hint="eastAsia"/>
                <w:sz w:val="18"/>
                <w:szCs w:val="18"/>
              </w:rPr>
            </w:pPr>
          </w:p>
        </w:tc>
        <w:tc>
          <w:tcPr>
            <w:tcW w:w="338" w:type="dxa"/>
            <w:noWrap w:val="0"/>
            <w:vAlign w:val="center"/>
          </w:tcPr>
          <w:p>
            <w:pPr>
              <w:snapToGrid w:val="0"/>
              <w:jc w:val="center"/>
              <w:rPr>
                <w:rFonts w:hint="eastAsia"/>
                <w:sz w:val="18"/>
                <w:szCs w:val="18"/>
              </w:rPr>
            </w:pPr>
            <w:r>
              <w:rPr>
                <w:rFonts w:hint="eastAsia"/>
                <w:sz w:val="18"/>
                <w:szCs w:val="18"/>
              </w:rPr>
              <w:t>2</w:t>
            </w:r>
          </w:p>
        </w:tc>
        <w:tc>
          <w:tcPr>
            <w:tcW w:w="1620" w:type="dxa"/>
            <w:gridSpan w:val="2"/>
            <w:noWrap w:val="0"/>
            <w:vAlign w:val="center"/>
          </w:tcPr>
          <w:p>
            <w:pPr>
              <w:snapToGrid w:val="0"/>
              <w:ind w:left="57" w:right="57"/>
              <w:rPr>
                <w:rFonts w:hint="eastAsia"/>
                <w:sz w:val="18"/>
                <w:szCs w:val="18"/>
              </w:rPr>
            </w:pPr>
            <w:r>
              <w:rPr>
                <w:rFonts w:hint="eastAsia"/>
                <w:sz w:val="18"/>
                <w:szCs w:val="18"/>
              </w:rPr>
              <w:t>通风工程风口风量的平衡偏差（与设计风量）</w:t>
            </w:r>
          </w:p>
        </w:tc>
        <w:tc>
          <w:tcPr>
            <w:tcW w:w="2411" w:type="dxa"/>
            <w:noWrap w:val="0"/>
            <w:vAlign w:val="center"/>
          </w:tcPr>
          <w:p>
            <w:pPr>
              <w:snapToGrid w:val="0"/>
              <w:ind w:left="57" w:right="57"/>
              <w:jc w:val="center"/>
              <w:rPr>
                <w:sz w:val="18"/>
                <w:szCs w:val="18"/>
              </w:rPr>
            </w:pPr>
            <w:r>
              <w:rPr>
                <w:rFonts w:hint="eastAsia"/>
                <w:kern w:val="0"/>
                <w:sz w:val="18"/>
                <w:szCs w:val="18"/>
              </w:rPr>
              <w:t>≤</w:t>
            </w:r>
            <w:r>
              <w:rPr>
                <w:kern w:val="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24" w:hRule="atLeast"/>
          <w:jc w:val="center"/>
        </w:trPr>
        <w:tc>
          <w:tcPr>
            <w:tcW w:w="265" w:type="dxa"/>
            <w:vMerge w:val="continue"/>
            <w:noWrap w:val="0"/>
            <w:vAlign w:val="center"/>
          </w:tcPr>
          <w:p>
            <w:pPr>
              <w:snapToGrid w:val="0"/>
              <w:jc w:val="center"/>
              <w:rPr>
                <w:rFonts w:hint="eastAsia"/>
                <w:sz w:val="18"/>
                <w:szCs w:val="18"/>
              </w:rPr>
            </w:pPr>
          </w:p>
        </w:tc>
        <w:tc>
          <w:tcPr>
            <w:tcW w:w="338" w:type="dxa"/>
            <w:vMerge w:val="restart"/>
            <w:noWrap w:val="0"/>
            <w:vAlign w:val="center"/>
          </w:tcPr>
          <w:p>
            <w:pPr>
              <w:snapToGrid w:val="0"/>
              <w:jc w:val="center"/>
              <w:rPr>
                <w:rFonts w:hint="eastAsia"/>
                <w:sz w:val="18"/>
                <w:szCs w:val="18"/>
              </w:rPr>
            </w:pPr>
            <w:r>
              <w:rPr>
                <w:rFonts w:hint="eastAsia"/>
                <w:sz w:val="18"/>
                <w:szCs w:val="18"/>
              </w:rPr>
              <w:t>3</w:t>
            </w:r>
          </w:p>
        </w:tc>
        <w:tc>
          <w:tcPr>
            <w:tcW w:w="789" w:type="dxa"/>
            <w:vMerge w:val="restart"/>
            <w:noWrap w:val="0"/>
            <w:vAlign w:val="center"/>
          </w:tcPr>
          <w:p>
            <w:pPr>
              <w:snapToGrid w:val="0"/>
              <w:jc w:val="center"/>
              <w:rPr>
                <w:rFonts w:hint="eastAsia"/>
                <w:sz w:val="18"/>
                <w:szCs w:val="18"/>
              </w:rPr>
            </w:pPr>
            <w:r>
              <w:rPr>
                <w:rFonts w:hint="eastAsia"/>
                <w:sz w:val="18"/>
                <w:szCs w:val="18"/>
              </w:rPr>
              <w:t>空调系统调试</w:t>
            </w:r>
          </w:p>
        </w:tc>
        <w:tc>
          <w:tcPr>
            <w:tcW w:w="831" w:type="dxa"/>
            <w:noWrap w:val="0"/>
            <w:vAlign w:val="center"/>
          </w:tcPr>
          <w:p>
            <w:pPr>
              <w:snapToGrid w:val="0"/>
              <w:jc w:val="center"/>
              <w:rPr>
                <w:rFonts w:hint="eastAsia" w:ascii="宋体" w:hAnsi="宋体"/>
                <w:color w:val="000000"/>
                <w:sz w:val="18"/>
                <w:szCs w:val="18"/>
              </w:rPr>
            </w:pPr>
            <w:r>
              <w:rPr>
                <w:rFonts w:hint="eastAsia" w:ascii="宋体" w:hAnsi="宋体"/>
                <w:color w:val="000000"/>
                <w:kern w:val="0"/>
                <w:sz w:val="18"/>
                <w:szCs w:val="18"/>
              </w:rPr>
              <w:t>室内噪声</w:t>
            </w:r>
          </w:p>
        </w:tc>
        <w:tc>
          <w:tcPr>
            <w:tcW w:w="2411" w:type="dxa"/>
            <w:noWrap w:val="0"/>
            <w:vAlign w:val="center"/>
          </w:tcPr>
          <w:p>
            <w:pPr>
              <w:pStyle w:val="5"/>
              <w:pBdr>
                <w:bottom w:val="none" w:color="auto" w:sz="0" w:space="0"/>
              </w:pBdr>
              <w:tabs>
                <w:tab w:val="clear" w:pos="4153"/>
                <w:tab w:val="clear" w:pos="8306"/>
              </w:tabs>
              <w:ind w:left="57" w:right="57"/>
              <w:rPr>
                <w:rFonts w:ascii="宋体" w:hAnsi="宋体"/>
                <w:color w:val="000000"/>
                <w:kern w:val="0"/>
              </w:rPr>
            </w:pPr>
            <w:r>
              <w:rPr>
                <w:rFonts w:hint="eastAsia" w:ascii="宋体" w:hAnsi="宋体"/>
                <w:color w:val="000000"/>
                <w:kern w:val="0"/>
              </w:rPr>
              <w:t>应符合设计规定要求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6" w:hRule="atLeast"/>
          <w:jc w:val="center"/>
        </w:trPr>
        <w:tc>
          <w:tcPr>
            <w:tcW w:w="265" w:type="dxa"/>
            <w:vMerge w:val="continue"/>
            <w:noWrap w:val="0"/>
            <w:vAlign w:val="center"/>
          </w:tcPr>
          <w:p>
            <w:pPr>
              <w:snapToGrid w:val="0"/>
              <w:jc w:val="center"/>
              <w:rPr>
                <w:rFonts w:hint="eastAsia"/>
                <w:sz w:val="18"/>
                <w:szCs w:val="18"/>
              </w:rPr>
            </w:pPr>
          </w:p>
        </w:tc>
        <w:tc>
          <w:tcPr>
            <w:tcW w:w="338" w:type="dxa"/>
            <w:vMerge w:val="continue"/>
            <w:noWrap w:val="0"/>
            <w:vAlign w:val="center"/>
          </w:tcPr>
          <w:p>
            <w:pPr>
              <w:snapToGrid w:val="0"/>
              <w:jc w:val="center"/>
              <w:rPr>
                <w:rFonts w:hint="eastAsia"/>
                <w:sz w:val="18"/>
                <w:szCs w:val="18"/>
              </w:rPr>
            </w:pPr>
          </w:p>
        </w:tc>
        <w:tc>
          <w:tcPr>
            <w:tcW w:w="789" w:type="dxa"/>
            <w:vMerge w:val="continue"/>
            <w:noWrap w:val="0"/>
            <w:vAlign w:val="center"/>
          </w:tcPr>
          <w:p>
            <w:pPr>
              <w:snapToGrid w:val="0"/>
              <w:rPr>
                <w:rFonts w:hint="eastAsia"/>
                <w:color w:val="000000"/>
                <w:sz w:val="18"/>
                <w:szCs w:val="18"/>
              </w:rPr>
            </w:pPr>
          </w:p>
        </w:tc>
        <w:tc>
          <w:tcPr>
            <w:tcW w:w="831" w:type="dxa"/>
            <w:noWrap w:val="0"/>
            <w:vAlign w:val="center"/>
          </w:tcPr>
          <w:p>
            <w:pPr>
              <w:snapToGrid w:val="0"/>
              <w:jc w:val="center"/>
              <w:rPr>
                <w:rFonts w:hint="eastAsia"/>
                <w:color w:val="000000"/>
                <w:sz w:val="18"/>
                <w:szCs w:val="18"/>
              </w:rPr>
            </w:pPr>
            <w:r>
              <w:rPr>
                <w:rFonts w:hint="eastAsia" w:ascii="宋体" w:hAnsi="宋体"/>
                <w:color w:val="000000"/>
                <w:kern w:val="0"/>
                <w:sz w:val="18"/>
                <w:szCs w:val="18"/>
              </w:rPr>
              <w:t>环境噪声</w:t>
            </w:r>
          </w:p>
        </w:tc>
        <w:tc>
          <w:tcPr>
            <w:tcW w:w="2411" w:type="dxa"/>
            <w:noWrap w:val="0"/>
            <w:vAlign w:val="center"/>
          </w:tcPr>
          <w:p>
            <w:pPr>
              <w:snapToGrid w:val="0"/>
              <w:ind w:left="57" w:right="57"/>
              <w:rPr>
                <w:color w:val="000000"/>
                <w:sz w:val="18"/>
                <w:szCs w:val="18"/>
              </w:rPr>
            </w:pPr>
            <w:r>
              <w:rPr>
                <w:rFonts w:hint="eastAsia" w:ascii="宋体" w:hAnsi="宋体"/>
                <w:color w:val="000000"/>
                <w:kern w:val="0"/>
                <w:sz w:val="18"/>
                <w:szCs w:val="18"/>
              </w:rPr>
              <w:t>按现行国家标准的规定进行测定。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07" w:hRule="atLeast"/>
          <w:jc w:val="center"/>
        </w:trPr>
        <w:tc>
          <w:tcPr>
            <w:tcW w:w="265" w:type="dxa"/>
            <w:vMerge w:val="continue"/>
            <w:noWrap w:val="0"/>
            <w:vAlign w:val="center"/>
          </w:tcPr>
          <w:p>
            <w:pPr>
              <w:snapToGrid w:val="0"/>
              <w:jc w:val="center"/>
              <w:rPr>
                <w:rFonts w:hint="eastAsia"/>
                <w:sz w:val="18"/>
                <w:szCs w:val="18"/>
              </w:rPr>
            </w:pPr>
          </w:p>
        </w:tc>
        <w:tc>
          <w:tcPr>
            <w:tcW w:w="338" w:type="dxa"/>
            <w:noWrap w:val="0"/>
            <w:vAlign w:val="center"/>
          </w:tcPr>
          <w:p>
            <w:pPr>
              <w:snapToGrid w:val="0"/>
              <w:jc w:val="center"/>
              <w:rPr>
                <w:rFonts w:hint="eastAsia"/>
                <w:sz w:val="18"/>
                <w:szCs w:val="18"/>
              </w:rPr>
            </w:pPr>
            <w:r>
              <w:rPr>
                <w:rFonts w:hint="eastAsia"/>
                <w:sz w:val="18"/>
                <w:szCs w:val="18"/>
              </w:rPr>
              <w:t>4</w:t>
            </w:r>
          </w:p>
        </w:tc>
        <w:tc>
          <w:tcPr>
            <w:tcW w:w="1620" w:type="dxa"/>
            <w:gridSpan w:val="2"/>
            <w:noWrap w:val="0"/>
            <w:vAlign w:val="center"/>
          </w:tcPr>
          <w:p>
            <w:pPr>
              <w:snapToGrid w:val="0"/>
              <w:ind w:left="57" w:right="57"/>
              <w:rPr>
                <w:rFonts w:hint="eastAsia" w:ascii="宋体" w:hAnsi="宋体"/>
                <w:color w:val="000000"/>
                <w:sz w:val="18"/>
                <w:szCs w:val="18"/>
              </w:rPr>
            </w:pPr>
            <w:r>
              <w:rPr>
                <w:rFonts w:hint="eastAsia" w:ascii="宋体" w:hAnsi="宋体"/>
                <w:color w:val="000000"/>
                <w:sz w:val="18"/>
                <w:szCs w:val="18"/>
              </w:rPr>
              <w:t>工程的控制和监测元件和执行</w:t>
            </w:r>
            <w:r>
              <w:rPr>
                <w:rFonts w:hint="eastAsia" w:ascii="宋体" w:hAnsi="宋体"/>
                <w:color w:val="000000"/>
                <w:kern w:val="0"/>
                <w:sz w:val="18"/>
                <w:szCs w:val="18"/>
              </w:rPr>
              <w:t>机</w:t>
            </w:r>
            <w:r>
              <w:rPr>
                <w:rFonts w:hint="eastAsia" w:ascii="宋体" w:hAnsi="宋体"/>
                <w:color w:val="000000"/>
                <w:sz w:val="18"/>
                <w:szCs w:val="18"/>
              </w:rPr>
              <w:t>构</w:t>
            </w:r>
          </w:p>
        </w:tc>
        <w:tc>
          <w:tcPr>
            <w:tcW w:w="2411" w:type="dxa"/>
            <w:noWrap w:val="0"/>
            <w:vAlign w:val="center"/>
          </w:tcPr>
          <w:p>
            <w:pPr>
              <w:snapToGrid w:val="0"/>
              <w:ind w:left="57" w:right="57"/>
              <w:rPr>
                <w:rFonts w:ascii="宋体" w:hAnsi="宋体"/>
                <w:color w:val="000000"/>
                <w:sz w:val="18"/>
                <w:szCs w:val="18"/>
              </w:rPr>
            </w:pPr>
            <w:r>
              <w:rPr>
                <w:rFonts w:hint="eastAsia" w:ascii="宋体" w:hAnsi="宋体"/>
                <w:color w:val="000000"/>
                <w:kern w:val="0"/>
                <w:sz w:val="18"/>
                <w:szCs w:val="18"/>
              </w:rPr>
              <w:t>应能与系统的检测元件和执行机构正常沟通，系统的状态参数能正确显示，设备联锁、自动调节、自动保护能正确动作</w:t>
            </w:r>
          </w:p>
        </w:tc>
      </w:tr>
    </w:tbl>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安全目标</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b/>
          <w:bCs/>
          <w:lang w:val="zh-CN"/>
        </w:rPr>
      </w:pPr>
      <w:r>
        <w:rPr>
          <w:rFonts w:hint="eastAsia" w:ascii="宋体" w:hAnsi="宋体" w:eastAsia="宋体" w:cs="宋体"/>
        </w:rPr>
        <w:t xml:space="preserve">    </w:t>
      </w:r>
      <w:r>
        <w:rPr>
          <w:rFonts w:hint="eastAsia" w:ascii="宋体" w:hAnsi="宋体" w:eastAsia="宋体" w:cs="宋体"/>
          <w:highlight w:val="yellow"/>
          <w:lang w:val="zh-CN"/>
        </w:rPr>
        <w:t>杜绝人身重伤及以上事故，施工机械、及设备损坏事故，重大火灾等事故。</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kern w:val="0"/>
        </w:rPr>
      </w:pP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kern w:val="0"/>
        </w:rPr>
        <w:t>工期要求、质量目标及安全目标：</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kern w:val="0"/>
          <w:highlight w:val="yellow"/>
        </w:rPr>
      </w:pPr>
      <w:r>
        <w:rPr>
          <w:rFonts w:hint="eastAsia" w:ascii="宋体" w:hAnsi="宋体" w:cs="宋体"/>
          <w:kern w:val="0"/>
          <w:highlight w:val="none"/>
        </w:rPr>
        <w:t>工期要求：</w:t>
      </w:r>
      <w:r>
        <w:rPr>
          <w:rFonts w:hint="eastAsia" w:ascii="宋体" w:hAnsi="宋体" w:cs="宋体"/>
          <w:color w:val="000000"/>
          <w:highlight w:val="yellow"/>
          <w:shd w:val="clear" w:color="auto" w:fill="FFFFFF"/>
        </w:rPr>
        <w:t>20</w:t>
      </w:r>
      <w:r>
        <w:rPr>
          <w:rFonts w:hint="eastAsia" w:ascii="宋体" w:hAnsi="宋体" w:cs="宋体"/>
          <w:color w:val="000000"/>
          <w:highlight w:val="yellow"/>
          <w:shd w:val="clear" w:color="auto" w:fill="FFFFFF"/>
          <w:lang w:val="en-US" w:eastAsia="zh-CN"/>
        </w:rPr>
        <w:t>22</w:t>
      </w:r>
      <w:r>
        <w:rPr>
          <w:rFonts w:hint="eastAsia" w:ascii="宋体" w:hAnsi="宋体" w:cs="宋体"/>
          <w:color w:val="000000"/>
          <w:highlight w:val="yellow"/>
          <w:shd w:val="clear" w:color="auto" w:fill="FFFFFF"/>
        </w:rPr>
        <w:t>年</w:t>
      </w:r>
      <w:r>
        <w:rPr>
          <w:rFonts w:hint="eastAsia" w:ascii="宋体" w:hAnsi="宋体" w:cs="宋体"/>
          <w:color w:val="000000"/>
          <w:highlight w:val="yellow"/>
          <w:shd w:val="clear" w:color="auto" w:fill="FFFFFF"/>
          <w:lang w:val="en-US" w:eastAsia="zh-CN"/>
        </w:rPr>
        <w:t>8</w:t>
      </w:r>
      <w:r>
        <w:rPr>
          <w:rFonts w:hint="eastAsia" w:ascii="宋体" w:hAnsi="宋体" w:cs="宋体"/>
          <w:color w:val="000000"/>
          <w:highlight w:val="yellow"/>
          <w:shd w:val="clear" w:color="auto" w:fill="FFFFFF"/>
        </w:rPr>
        <w:t>月</w:t>
      </w:r>
      <w:r>
        <w:rPr>
          <w:rFonts w:hint="eastAsia" w:ascii="宋体" w:hAnsi="宋体" w:cs="宋体"/>
          <w:color w:val="000000"/>
          <w:highlight w:val="yellow"/>
          <w:shd w:val="clear" w:color="auto" w:fill="FFFFFF"/>
          <w:lang w:val="en-US" w:eastAsia="zh-CN"/>
        </w:rPr>
        <w:t>31</w:t>
      </w:r>
      <w:r>
        <w:rPr>
          <w:rFonts w:hint="eastAsia" w:ascii="宋体" w:hAnsi="宋体" w:cs="宋体"/>
          <w:color w:val="000000"/>
          <w:highlight w:val="yellow"/>
          <w:shd w:val="clear" w:color="auto" w:fill="FFFFFF"/>
        </w:rPr>
        <w:t>日</w:t>
      </w:r>
      <w:r>
        <w:rPr>
          <w:rFonts w:hint="eastAsia" w:ascii="宋体" w:hAnsi="宋体" w:cs="宋体"/>
          <w:color w:val="000000"/>
          <w:highlight w:val="yellow"/>
          <w:shd w:val="clear" w:color="auto" w:fill="FFFFFF"/>
          <w:lang w:val="en-US" w:eastAsia="zh-CN"/>
        </w:rPr>
        <w:t>前</w:t>
      </w:r>
      <w:r>
        <w:rPr>
          <w:rFonts w:hint="eastAsia" w:ascii="宋体" w:hAnsi="宋体" w:cs="宋体"/>
          <w:color w:val="000000"/>
          <w:highlight w:val="yellow"/>
          <w:shd w:val="clear" w:color="auto" w:fill="FFFFFF"/>
        </w:rPr>
        <w:t>完成</w:t>
      </w:r>
      <w:r>
        <w:rPr>
          <w:rFonts w:hint="eastAsia" w:ascii="宋体" w:hAnsi="宋体" w:cs="宋体"/>
          <w:highlight w:val="yellow"/>
        </w:rPr>
        <w:t>完</w:t>
      </w:r>
      <w:r>
        <w:rPr>
          <w:rFonts w:hint="eastAsia" w:ascii="宋体" w:hAnsi="宋体" w:cs="宋体"/>
          <w:b w:val="0"/>
          <w:bCs w:val="0"/>
          <w:highlight w:val="yellow"/>
        </w:rPr>
        <w:t>成全部</w:t>
      </w:r>
      <w:r>
        <w:rPr>
          <w:rFonts w:hint="eastAsia" w:ascii="宋体" w:hAnsi="宋体" w:eastAsia="宋体" w:cs="宋体"/>
          <w:b w:val="0"/>
          <w:bCs w:val="0"/>
          <w:sz w:val="21"/>
          <w:szCs w:val="21"/>
          <w:highlight w:val="yellow"/>
          <w:lang w:val="en-US" w:eastAsia="zh-CN"/>
        </w:rPr>
        <w:t>工程施工。</w:t>
      </w:r>
      <w:r>
        <w:rPr>
          <w:rFonts w:hint="eastAsia" w:ascii="宋体" w:hAnsi="宋体" w:cs="宋体"/>
          <w:b w:val="0"/>
          <w:bCs w:val="0"/>
          <w:highlight w:val="yellow"/>
        </w:rPr>
        <w:t xml:space="preserve"> </w:t>
      </w:r>
    </w:p>
    <w:p>
      <w:pPr>
        <w:keepNext w:val="0"/>
        <w:keepLines w:val="0"/>
        <w:pageBreakBefore w:val="0"/>
        <w:widowControl/>
        <w:shd w:val="clear" w:color="auto" w:fill="FFFFFF"/>
        <w:kinsoku/>
        <w:wordWrap/>
        <w:overflowPunct/>
        <w:topLinePunct w:val="0"/>
        <w:bidi w:val="0"/>
        <w:adjustRightInd w:val="0"/>
        <w:snapToGrid/>
        <w:spacing w:line="360" w:lineRule="auto"/>
        <w:ind w:firstLine="420" w:firstLineChars="200"/>
        <w:textAlignment w:val="baseline"/>
        <w:rPr>
          <w:rFonts w:hint="eastAsia" w:ascii="宋体" w:hAnsi="宋体" w:cs="宋体"/>
        </w:rPr>
      </w:pPr>
      <w:r>
        <w:rPr>
          <w:rFonts w:hint="eastAsia" w:ascii="宋体" w:hAnsi="宋体" w:cs="宋体"/>
        </w:rPr>
        <w:t>质量目标：分项工程合格率100%，分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keepNext w:val="0"/>
        <w:keepLines w:val="0"/>
        <w:pageBreakBefore w:val="0"/>
        <w:kinsoku/>
        <w:wordWrap/>
        <w:overflowPunct/>
        <w:topLinePunct w:val="0"/>
        <w:autoSpaceDE w:val="0"/>
        <w:autoSpaceDN w:val="0"/>
        <w:bidi w:val="0"/>
        <w:adjustRightInd w:val="0"/>
        <w:snapToGrid/>
        <w:spacing w:line="360" w:lineRule="auto"/>
        <w:ind w:firstLine="420"/>
        <w:rPr>
          <w:rFonts w:hint="eastAsia" w:ascii="宋体" w:hAnsi="宋体" w:cs="宋体"/>
          <w:kern w:val="0"/>
        </w:rPr>
      </w:pPr>
      <w:r>
        <w:rPr>
          <w:rFonts w:hint="eastAsia" w:ascii="宋体" w:hAnsi="宋体" w:cs="宋体"/>
          <w:kern w:val="0"/>
        </w:rPr>
        <w:t>安全目标：必须达到国家规定的电力建设安全目标和</w:t>
      </w:r>
      <w:r>
        <w:rPr>
          <w:rFonts w:hint="eastAsia" w:ascii="宋体" w:hAnsi="宋体" w:cs="宋体"/>
          <w:kern w:val="0"/>
          <w:lang w:val="en-US" w:eastAsia="zh-CN"/>
        </w:rPr>
        <w:t>九洲</w:t>
      </w:r>
      <w:r>
        <w:rPr>
          <w:rFonts w:hint="eastAsia" w:ascii="宋体" w:hAnsi="宋体" w:cs="宋体"/>
          <w:kern w:val="0"/>
        </w:rPr>
        <w:t>集团公司及项目法人规定的有关安全管理要求。</w:t>
      </w:r>
    </w:p>
    <w:p>
      <w:pPr>
        <w:keepNext w:val="0"/>
        <w:keepLines w:val="0"/>
        <w:pageBreakBefore w:val="0"/>
        <w:kinsoku/>
        <w:wordWrap/>
        <w:overflowPunct/>
        <w:topLinePunct w:val="0"/>
        <w:autoSpaceDE w:val="0"/>
        <w:autoSpaceDN w:val="0"/>
        <w:bidi w:val="0"/>
        <w:adjustRightInd w:val="0"/>
        <w:snapToGrid/>
        <w:spacing w:line="360" w:lineRule="auto"/>
        <w:ind w:firstLine="420"/>
        <w:rPr>
          <w:rFonts w:hint="eastAsia" w:ascii="宋体" w:hAnsi="宋体" w:cs="宋体"/>
          <w:kern w:val="0"/>
          <w:lang w:val="zh-CN"/>
        </w:rPr>
      </w:pPr>
    </w:p>
    <w:p>
      <w:pPr>
        <w:pStyle w:val="4"/>
        <w:keepNext w:val="0"/>
        <w:keepLines w:val="0"/>
        <w:widowControl/>
        <w:numPr>
          <w:ilvl w:val="0"/>
          <w:numId w:val="2"/>
        </w:numPr>
        <w:snapToGrid w:val="0"/>
        <w:spacing w:before="0" w:line="360" w:lineRule="auto"/>
        <w:jc w:val="left"/>
        <w:rPr>
          <w:rFonts w:hint="eastAsia" w:ascii="宋体" w:hAnsi="宋体" w:cs="宋体"/>
          <w:sz w:val="21"/>
          <w:lang w:val="zh-CN"/>
        </w:rPr>
      </w:pPr>
      <w:bookmarkStart w:id="3" w:name="_Toc8825"/>
      <w:r>
        <w:rPr>
          <w:rFonts w:hint="eastAsia" w:ascii="宋体" w:hAnsi="宋体" w:cs="宋体"/>
          <w:sz w:val="21"/>
          <w:lang w:val="zh-CN"/>
        </w:rPr>
        <w:t>招标范围</w:t>
      </w:r>
      <w:bookmarkEnd w:id="3"/>
    </w:p>
    <w:p>
      <w:pPr>
        <w:snapToGrid w:val="0"/>
        <w:spacing w:line="360" w:lineRule="auto"/>
        <w:ind w:firstLine="420" w:firstLineChars="200"/>
        <w:rPr>
          <w:rFonts w:hint="eastAsia" w:ascii="宋体" w:hAnsi="宋体" w:cs="宋体"/>
          <w:bCs/>
          <w:color w:val="auto"/>
          <w:highlight w:val="yellow"/>
          <w:lang w:val="en-US" w:eastAsia="zh-CN"/>
        </w:rPr>
      </w:pPr>
      <w:r>
        <w:rPr>
          <w:rFonts w:hint="eastAsia" w:ascii="宋体" w:hAnsi="宋体" w:cs="宋体"/>
          <w:bCs/>
          <w:color w:val="auto"/>
          <w:highlight w:val="yellow"/>
        </w:rPr>
        <w:t>招标范围：</w:t>
      </w:r>
      <w:r>
        <w:rPr>
          <w:rFonts w:hint="eastAsia" w:ascii="宋体" w:hAnsi="宋体" w:cs="宋体"/>
          <w:bCs/>
          <w:color w:val="auto"/>
          <w:highlight w:val="yellow"/>
          <w:lang w:val="en-US" w:eastAsia="zh-CN"/>
        </w:rPr>
        <w:t>1、</w:t>
      </w:r>
      <w:r>
        <w:rPr>
          <w:rFonts w:hint="eastAsia" w:ascii="宋体" w:hAnsi="宋体" w:cs="宋体"/>
          <w:highlight w:val="yellow"/>
          <w:lang w:val="en-US" w:eastAsia="zh-CN"/>
        </w:rPr>
        <w:t>全厂区建筑物内通风设备施工全部工程（包工包料，含主材、设备）</w:t>
      </w:r>
      <w:r>
        <w:rPr>
          <w:rFonts w:hint="eastAsia" w:ascii="宋体" w:hAnsi="宋体" w:cs="宋体"/>
          <w:bCs/>
          <w:color w:val="auto"/>
          <w:highlight w:val="yellow"/>
          <w:lang w:val="en-US" w:eastAsia="zh-CN"/>
        </w:rPr>
        <w:t>。</w:t>
      </w:r>
    </w:p>
    <w:p>
      <w:pPr>
        <w:numPr>
          <w:ilvl w:val="0"/>
          <w:numId w:val="0"/>
        </w:numPr>
        <w:snapToGrid w:val="0"/>
        <w:spacing w:line="360" w:lineRule="auto"/>
        <w:ind w:leftChars="500" w:firstLine="420" w:firstLineChars="200"/>
        <w:rPr>
          <w:rFonts w:hint="default" w:ascii="宋体" w:hAnsi="宋体" w:eastAsia="宋体" w:cs="宋体"/>
          <w:bCs/>
          <w:highlight w:val="yellow"/>
          <w:lang w:val="en-US" w:eastAsia="zh-CN"/>
        </w:rPr>
      </w:pPr>
      <w:r>
        <w:rPr>
          <w:rFonts w:hint="eastAsia" w:ascii="宋体" w:hAnsi="宋体" w:eastAsia="宋体" w:cs="宋体"/>
          <w:bCs/>
          <w:highlight w:val="yellow"/>
          <w:lang w:val="en-US" w:eastAsia="zh-CN"/>
        </w:rPr>
        <w:t>2、</w:t>
      </w:r>
      <w:r>
        <w:rPr>
          <w:rFonts w:hint="default" w:ascii="宋体" w:hAnsi="宋体" w:eastAsia="宋体" w:cs="宋体"/>
          <w:bCs/>
          <w:highlight w:val="yellow"/>
          <w:lang w:val="en-US" w:eastAsia="zh-CN"/>
        </w:rPr>
        <w:t>施工工艺</w:t>
      </w:r>
      <w:r>
        <w:rPr>
          <w:rFonts w:hint="eastAsia" w:ascii="宋体" w:hAnsi="宋体" w:eastAsia="宋体" w:cs="宋体"/>
          <w:bCs/>
          <w:highlight w:val="yellow"/>
          <w:lang w:val="en-US" w:eastAsia="zh-CN"/>
        </w:rPr>
        <w:t>：</w:t>
      </w:r>
      <w:r>
        <w:rPr>
          <w:rFonts w:hint="eastAsia" w:ascii="宋体" w:hAnsi="宋体" w:eastAsia="宋体" w:cs="宋体"/>
          <w:bCs/>
          <w:highlight w:val="none"/>
          <w:lang w:val="en-US" w:eastAsia="zh-CN"/>
        </w:rPr>
        <w:t xml:space="preserve">    </w:t>
      </w:r>
      <w:r>
        <w:rPr>
          <w:rFonts w:hint="default" w:ascii="宋体" w:hAnsi="宋体" w:eastAsia="宋体" w:cs="宋体"/>
          <w:bCs/>
          <w:highlight w:val="none"/>
          <w:lang w:val="en-US" w:eastAsia="zh-CN"/>
        </w:rPr>
        <w:t> </w:t>
      </w:r>
    </w:p>
    <w:p>
      <w:pPr>
        <w:numPr>
          <w:ilvl w:val="0"/>
          <w:numId w:val="0"/>
        </w:numPr>
        <w:snapToGrid w:val="0"/>
        <w:spacing w:line="360" w:lineRule="auto"/>
        <w:ind w:left="1050" w:leftChars="500" w:firstLine="0" w:firstLineChars="0"/>
        <w:rPr>
          <w:rFonts w:hint="eastAsia" w:ascii="宋体" w:hAnsi="宋体" w:cs="宋体"/>
          <w:bCs/>
          <w:highlight w:val="yellow"/>
          <w:lang w:val="en-US" w:eastAsia="zh-CN"/>
        </w:rPr>
      </w:pPr>
      <w:r>
        <w:rPr>
          <w:rFonts w:hint="eastAsia" w:ascii="宋体" w:hAnsi="宋体" w:cs="宋体"/>
          <w:bCs/>
          <w:highlight w:val="yellow"/>
          <w:lang w:val="en-US" w:eastAsia="zh-CN"/>
        </w:rPr>
        <w:t>1、</w:t>
      </w:r>
      <w:r>
        <w:rPr>
          <w:rFonts w:hint="eastAsia" w:ascii="宋体" w:hAnsi="宋体" w:cs="宋体"/>
          <w:bCs/>
          <w:highlight w:val="yellow"/>
        </w:rPr>
        <w:t>为保证建设质量和投运后的安全稳定运行，承包商负责采购的材料应选用质优产品。</w:t>
      </w:r>
      <w:r>
        <w:rPr>
          <w:rFonts w:hint="eastAsia" w:ascii="宋体" w:hAnsi="宋体" w:cs="宋体"/>
          <w:bCs/>
          <w:highlight w:val="yellow"/>
          <w:lang w:val="en-US" w:eastAsia="zh-CN"/>
        </w:rPr>
        <w:t>2、施工工艺采用国家标准施工工艺，如各投标单位有更科学，更新型的施工工艺，可在投标时在技术标中详细阐述，。</w:t>
      </w:r>
    </w:p>
    <w:p>
      <w:pPr>
        <w:numPr>
          <w:ilvl w:val="0"/>
          <w:numId w:val="3"/>
        </w:numPr>
        <w:snapToGrid w:val="0"/>
        <w:spacing w:line="360" w:lineRule="auto"/>
        <w:ind w:left="0" w:leftChars="0" w:firstLine="1050" w:firstLineChars="500"/>
        <w:rPr>
          <w:rFonts w:hint="default" w:ascii="宋体" w:hAnsi="宋体" w:cs="宋体"/>
          <w:bCs/>
          <w:highlight w:val="yellow"/>
          <w:lang w:val="en-US" w:eastAsia="zh-CN"/>
        </w:rPr>
      </w:pPr>
      <w:r>
        <w:rPr>
          <w:rFonts w:hint="eastAsia" w:ascii="宋体" w:hAnsi="宋体" w:cs="宋体"/>
          <w:bCs/>
          <w:highlight w:val="yellow"/>
          <w:lang w:val="en-US" w:eastAsia="zh-CN"/>
        </w:rPr>
        <w:t>技术指标：</w:t>
      </w:r>
    </w:p>
    <w:p>
      <w:pPr>
        <w:numPr>
          <w:ilvl w:val="0"/>
          <w:numId w:val="0"/>
        </w:numPr>
        <w:snapToGrid w:val="0"/>
        <w:spacing w:line="360" w:lineRule="auto"/>
        <w:ind w:leftChars="500"/>
        <w:rPr>
          <w:rFonts w:hint="default" w:ascii="宋体" w:hAnsi="宋体" w:cs="宋体"/>
          <w:bCs/>
          <w:highlight w:val="yellow"/>
          <w:lang w:val="en-US" w:eastAsia="zh-CN"/>
        </w:rPr>
      </w:pPr>
      <w:r>
        <w:rPr>
          <w:rFonts w:hint="eastAsia" w:ascii="宋体" w:hAnsi="宋体" w:cs="宋体"/>
          <w:bCs/>
          <w:highlight w:val="yellow"/>
          <w:lang w:val="en-US" w:eastAsia="zh-CN"/>
        </w:rPr>
        <w:t>详见图纸。</w:t>
      </w:r>
    </w:p>
    <w:p>
      <w:pPr>
        <w:numPr>
          <w:ilvl w:val="0"/>
          <w:numId w:val="0"/>
        </w:numPr>
        <w:jc w:val="both"/>
        <w:rPr>
          <w:rFonts w:hint="default" w:eastAsia="宋体"/>
          <w:b/>
          <w:bCs/>
          <w:sz w:val="24"/>
          <w:szCs w:val="24"/>
          <w:highlight w:val="red"/>
          <w:lang w:val="en-US" w:eastAsia="zh-CN"/>
        </w:rPr>
      </w:pPr>
      <w:r>
        <w:rPr>
          <w:rFonts w:hint="eastAsia" w:eastAsia="宋体"/>
          <w:b/>
          <w:bCs/>
          <w:sz w:val="24"/>
          <w:szCs w:val="24"/>
          <w:highlight w:val="red"/>
          <w:lang w:val="en-US" w:eastAsia="zh-CN"/>
        </w:rPr>
        <w:t>注：招标人提供的部分图纸中，通风与暖通为一套图纸，其中部分小型建筑物内无通风工程，请投标人自行区分报价，无通风工程自动忽略报价。</w:t>
      </w:r>
    </w:p>
    <w:p>
      <w:pPr>
        <w:numPr>
          <w:ilvl w:val="0"/>
          <w:numId w:val="0"/>
        </w:numPr>
        <w:jc w:val="center"/>
        <w:rPr>
          <w:rFonts w:hint="default" w:eastAsia="宋体"/>
          <w:highlight w:val="yellow"/>
          <w:lang w:val="en-US" w:eastAsia="zh-CN"/>
        </w:rPr>
      </w:pPr>
    </w:p>
    <w:p>
      <w:pPr>
        <w:pStyle w:val="4"/>
        <w:bidi w:val="0"/>
        <w:rPr>
          <w:rFonts w:hint="eastAsia"/>
        </w:rPr>
      </w:pPr>
      <w:bookmarkStart w:id="4" w:name="_Toc20539"/>
      <w:r>
        <w:rPr>
          <w:rFonts w:hint="eastAsia"/>
        </w:rPr>
        <w:t>4. 投标人资格及要求</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rPr>
        <w:t>本次招标采用公开招标、资格后审，要求投标人的投标文件中必须包含资格审查文件，投标截止时间前请投标人递交所有投标文件（包括报价、保证金及要求的电子版等），开标时技术商务及报价标一同开启。开标后首先进行资格后审，未通过资格后审的投标人将不能进入详评阶段。投标人在投标文件中提供的所有资质文件必须真实有效，保证合同执行期间有关证件、文件处于有效期。一旦发现虚假文件或内容，无论多么微小，将取消其投标资格。具体投标人资格以招标公告中的资格后审条件为准（凡不满足招标公告中任一资格后审条件的，均为不合格投标人）</w:t>
      </w:r>
    </w:p>
    <w:p>
      <w:pPr>
        <w:pStyle w:val="4"/>
        <w:spacing w:before="0" w:line="360" w:lineRule="exact"/>
        <w:rPr>
          <w:rFonts w:hint="eastAsia" w:ascii="宋体" w:hAnsi="宋体" w:cs="宋体"/>
          <w:sz w:val="21"/>
        </w:rPr>
      </w:pPr>
      <w:bookmarkStart w:id="5" w:name="_Toc26647"/>
      <w:r>
        <w:rPr>
          <w:rFonts w:hint="eastAsia" w:ascii="宋体" w:hAnsi="宋体" w:cs="宋体"/>
          <w:sz w:val="21"/>
        </w:rPr>
        <w:t xml:space="preserve">5. </w:t>
      </w:r>
      <w:r>
        <w:rPr>
          <w:rFonts w:hint="eastAsia" w:ascii="宋体" w:hAnsi="宋体" w:cs="宋体"/>
          <w:sz w:val="21"/>
          <w:lang w:val="zh-CN"/>
        </w:rPr>
        <w:t>招投标时间安排</w:t>
      </w:r>
      <w:bookmarkEnd w:id="5"/>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招投标时间安排见前附表中的说明。</w:t>
      </w:r>
    </w:p>
    <w:p>
      <w:pPr>
        <w:pStyle w:val="4"/>
        <w:spacing w:before="0" w:line="360" w:lineRule="exact"/>
        <w:rPr>
          <w:rFonts w:hint="eastAsia" w:ascii="宋体" w:hAnsi="宋体" w:cs="宋体"/>
          <w:sz w:val="21"/>
        </w:rPr>
      </w:pPr>
      <w:bookmarkStart w:id="6" w:name="_Toc25737"/>
      <w:r>
        <w:rPr>
          <w:rFonts w:hint="eastAsia" w:ascii="宋体" w:hAnsi="宋体" w:cs="宋体"/>
          <w:sz w:val="21"/>
        </w:rPr>
        <w:t xml:space="preserve">6. </w:t>
      </w:r>
      <w:r>
        <w:rPr>
          <w:rFonts w:hint="eastAsia" w:ascii="宋体" w:hAnsi="宋体" w:cs="宋体"/>
          <w:sz w:val="21"/>
          <w:lang w:val="zh-CN"/>
        </w:rPr>
        <w:t>投标费用</w:t>
      </w:r>
      <w:bookmarkEnd w:id="6"/>
    </w:p>
    <w:p>
      <w:pPr>
        <w:spacing w:line="360" w:lineRule="auto"/>
        <w:rPr>
          <w:rFonts w:hint="eastAsia" w:ascii="宋体" w:hAnsi="宋体" w:cs="宋体"/>
          <w:kern w:val="0"/>
        </w:rPr>
      </w:pPr>
      <w:r>
        <w:rPr>
          <w:rFonts w:hint="eastAsia" w:ascii="宋体" w:hAnsi="宋体" w:cs="宋体"/>
          <w:kern w:val="0"/>
        </w:rPr>
        <w:t>6.1投标人应自行承担投标文件准备与递交及参加投标活动所涉及的一切费用，不论投标结果如何，招标人及招标代理机构对上述费用不负任何责任。</w:t>
      </w:r>
    </w:p>
    <w:p>
      <w:pPr>
        <w:spacing w:line="360" w:lineRule="exact"/>
        <w:rPr>
          <w:rFonts w:hint="eastAsia" w:ascii="宋体" w:hAnsi="宋体" w:cs="宋体"/>
          <w:highlight w:val="yellow"/>
        </w:rPr>
      </w:pPr>
      <w:r>
        <w:rPr>
          <w:rFonts w:hint="eastAsia" w:ascii="宋体" w:hAnsi="宋体" w:cs="宋体"/>
          <w:kern w:val="0"/>
          <w:highlight w:val="yellow"/>
        </w:rPr>
        <w:t>6.2中标服务费</w:t>
      </w:r>
      <w:r>
        <w:rPr>
          <w:rFonts w:ascii="宋体" w:hAnsi="宋体" w:cs="宋体"/>
          <w:kern w:val="0"/>
          <w:highlight w:val="yellow"/>
        </w:rPr>
        <w:t>：</w:t>
      </w:r>
      <w:r>
        <w:rPr>
          <w:rFonts w:hint="eastAsia"/>
          <w:szCs w:val="21"/>
          <w:highlight w:val="yellow"/>
        </w:rPr>
        <w:t>中标方须支付中标服务费合同总价的</w:t>
      </w:r>
      <w:r>
        <w:rPr>
          <w:rFonts w:hint="eastAsia"/>
          <w:szCs w:val="21"/>
          <w:highlight w:val="yellow"/>
          <w:lang w:val="en-US" w:eastAsia="zh-CN"/>
        </w:rPr>
        <w:t>1</w:t>
      </w:r>
      <w:r>
        <w:rPr>
          <w:szCs w:val="21"/>
          <w:highlight w:val="yellow"/>
        </w:rPr>
        <w:t>%</w:t>
      </w:r>
      <w:r>
        <w:rPr>
          <w:rFonts w:hint="eastAsia"/>
          <w:szCs w:val="21"/>
          <w:highlight w:val="yellow"/>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DF366"/>
    <w:multiLevelType w:val="singleLevel"/>
    <w:tmpl w:val="9DFDF366"/>
    <w:lvl w:ilvl="0" w:tentative="0">
      <w:start w:val="3"/>
      <w:numFmt w:val="decimal"/>
      <w:suff w:val="space"/>
      <w:lvlText w:val="%1."/>
      <w:lvlJc w:val="left"/>
    </w:lvl>
  </w:abstractNum>
  <w:abstractNum w:abstractNumId="1">
    <w:nsid w:val="0A0151F3"/>
    <w:multiLevelType w:val="singleLevel"/>
    <w:tmpl w:val="0A0151F3"/>
    <w:lvl w:ilvl="0" w:tentative="0">
      <w:start w:val="1"/>
      <w:numFmt w:val="decimal"/>
      <w:suff w:val="nothing"/>
      <w:lvlText w:val="%1、"/>
      <w:lvlJc w:val="left"/>
    </w:lvl>
  </w:abstractNum>
  <w:abstractNum w:abstractNumId="2">
    <w:nsid w:val="6679A478"/>
    <w:multiLevelType w:val="singleLevel"/>
    <w:tmpl w:val="6679A478"/>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24288"/>
    <w:rsid w:val="55C2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jc w:val="center"/>
      <w:outlineLvl w:val="0"/>
    </w:pPr>
    <w:rPr>
      <w:b/>
      <w:kern w:val="44"/>
      <w:sz w:val="36"/>
      <w:szCs w:val="20"/>
    </w:rPr>
  </w:style>
  <w:style w:type="paragraph" w:styleId="4">
    <w:name w:val="heading 2"/>
    <w:basedOn w:val="1"/>
    <w:next w:val="1"/>
    <w:link w:val="11"/>
    <w:qFormat/>
    <w:uiPriority w:val="0"/>
    <w:pPr>
      <w:keepNext/>
      <w:keepLines/>
      <w:numPr>
        <w:ilvl w:val="0"/>
        <w:numId w:val="0"/>
      </w:numPr>
      <w:tabs>
        <w:tab w:val="left" w:pos="1560"/>
      </w:tabs>
      <w:spacing w:before="20" w:beforeLines="0" w:line="460" w:lineRule="exact"/>
      <w:outlineLvl w:val="1"/>
    </w:pPr>
    <w:rPr>
      <w:rFonts w:eastAsia="宋体"/>
      <w:b/>
      <w:bCs/>
      <w:color w:val="000000"/>
      <w:kern w:val="2"/>
      <w:sz w:val="24"/>
      <w:szCs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iPriority w:val="0"/>
    <w:pPr>
      <w:autoSpaceDE w:val="0"/>
      <w:autoSpaceDN w:val="0"/>
      <w:adjustRightInd w:val="0"/>
      <w:spacing w:line="360" w:lineRule="auto"/>
    </w:pPr>
    <w:rPr>
      <w:rFonts w:ascii="宋体" w:hAnsi="Arial" w:cs="宋体"/>
      <w:color w:val="000000"/>
      <w:lang w:val="zh-CN"/>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6">
    <w:name w:val="toc 1"/>
    <w:basedOn w:val="1"/>
    <w:next w:val="1"/>
    <w:qFormat/>
    <w:uiPriority w:val="0"/>
    <w:pPr>
      <w:widowControl/>
      <w:tabs>
        <w:tab w:val="right" w:leader="dot" w:pos="9016"/>
      </w:tabs>
      <w:spacing w:before="120" w:beforeLines="0" w:after="120" w:afterLines="0"/>
      <w:jc w:val="left"/>
    </w:pPr>
    <w:rPr>
      <w:rFonts w:ascii="宋体" w:hAnsi="宋体" w:cs="宋体"/>
      <w:b/>
      <w:color w:val="000000"/>
      <w:kern w:val="0"/>
    </w:rPr>
  </w:style>
  <w:style w:type="paragraph" w:styleId="7">
    <w:name w:val="toc 2"/>
    <w:basedOn w:val="1"/>
    <w:next w:val="1"/>
    <w:qFormat/>
    <w:uiPriority w:val="0"/>
    <w:pPr>
      <w:ind w:left="420" w:leftChars="200"/>
    </w:pPr>
    <w:rPr>
      <w:szCs w:val="20"/>
    </w:rPr>
  </w:style>
  <w:style w:type="character" w:styleId="10">
    <w:name w:val="Hyperlink"/>
    <w:qFormat/>
    <w:uiPriority w:val="0"/>
    <w:rPr>
      <w:color w:val="0000FF"/>
      <w:u w:val="single"/>
    </w:rPr>
  </w:style>
  <w:style w:type="character" w:customStyle="1" w:styleId="11">
    <w:name w:val="标题 2 Char"/>
    <w:link w:val="4"/>
    <w:qFormat/>
    <w:uiPriority w:val="0"/>
    <w:rPr>
      <w:rFonts w:eastAsia="宋体"/>
      <w:b/>
      <w:bCs/>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2665</Words>
  <Characters>2926</Characters>
  <Lines>0</Lines>
  <Paragraphs>0</Paragraphs>
  <TotalTime>2</TotalTime>
  <ScaleCrop>false</ScaleCrop>
  <LinksUpToDate>false</LinksUpToDate>
  <CharactersWithSpaces>3043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2022-04-24T07:07:00Z</dcterms:created>
  <dc:creator>采购</dc:creator>
  <cp:lastModifiedBy>采购</cp:lastModifiedBy>
  <dcterms:modified xsi:type="dcterms:W3CDTF">2022-04-24T07:11:08Z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755F6E1F366C480288127896E478E410</vt:lpwstr>
  </property>
</Properties>
</file>