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富裕县2*40MW农林生物质热电项目</w:t>
      </w: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（一期二期）</w:t>
      </w:r>
    </w:p>
    <w:p>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zh-CN"/>
        </w:rPr>
      </w:pPr>
    </w:p>
    <w:p>
      <w:pPr>
        <w:pStyle w:val="2"/>
        <w:rPr>
          <w:rFonts w:hint="eastAsia"/>
          <w:lang w:val="zh-CN"/>
        </w:rPr>
      </w:pPr>
    </w:p>
    <w:p>
      <w:pPr>
        <w:spacing w:after="240"/>
        <w:jc w:val="center"/>
        <w:rPr>
          <w:rFonts w:hint="eastAsia" w:ascii="宋体" w:hAnsi="宋体"/>
          <w:b/>
          <w:bCs/>
          <w:sz w:val="40"/>
          <w:szCs w:val="40"/>
          <w:lang w:val="en-US" w:eastAsia="zh-CN"/>
        </w:rPr>
      </w:pPr>
      <w:bookmarkStart w:id="2" w:name="_GoBack"/>
      <w:r>
        <w:rPr>
          <w:rFonts w:hint="eastAsia" w:ascii="宋体" w:hAnsi="宋体"/>
          <w:b/>
          <w:bCs/>
          <w:sz w:val="40"/>
          <w:szCs w:val="40"/>
          <w:lang w:val="en-US" w:eastAsia="zh-CN"/>
        </w:rPr>
        <w:t>启动锅炉房钢结构墙面屋面封闭材料及施工</w:t>
      </w:r>
    </w:p>
    <w:bookmarkEnd w:id="2"/>
    <w:p>
      <w:pPr>
        <w:pStyle w:val="2"/>
        <w:rPr>
          <w:rFonts w:hint="default"/>
          <w:lang w:val="en-US" w:eastAsia="zh-CN"/>
        </w:rPr>
      </w:pPr>
    </w:p>
    <w:p>
      <w:pPr>
        <w:spacing w:after="240"/>
        <w:jc w:val="center"/>
        <w:rPr>
          <w:rFonts w:hint="eastAsia" w:ascii="宋体" w:hAnsi="宋体" w:eastAsia="宋体"/>
          <w:sz w:val="36"/>
          <w:szCs w:val="36"/>
          <w:lang w:eastAsia="zh-CN"/>
        </w:rPr>
      </w:pPr>
      <w:r>
        <w:rPr>
          <w:rFonts w:hint="eastAsia" w:ascii="宋体" w:hAnsi="宋体"/>
          <w:b/>
          <w:bCs/>
          <w:sz w:val="36"/>
          <w:szCs w:val="36"/>
        </w:rPr>
        <w:t>商务招标</w:t>
      </w:r>
      <w:r>
        <w:rPr>
          <w:rFonts w:hint="eastAsia" w:ascii="宋体" w:hAnsi="宋体"/>
          <w:b/>
          <w:bCs/>
          <w:sz w:val="36"/>
          <w:szCs w:val="36"/>
          <w:lang w:val="en-US" w:eastAsia="zh-CN"/>
        </w:rPr>
        <w:t>公告</w:t>
      </w:r>
    </w:p>
    <w:p>
      <w:pPr>
        <w:pStyle w:val="10"/>
        <w:adjustRightInd/>
        <w:spacing w:line="240" w:lineRule="auto"/>
        <w:textAlignment w:val="auto"/>
        <w:rPr>
          <w:rFonts w:hint="eastAsia" w:hAnsi="宋体"/>
          <w:kern w:val="2"/>
          <w:szCs w:val="24"/>
        </w:rPr>
      </w:pPr>
    </w:p>
    <w:p>
      <w:pPr>
        <w:pStyle w:val="10"/>
        <w:adjustRightInd/>
        <w:spacing w:line="240" w:lineRule="auto"/>
        <w:textAlignment w:val="auto"/>
        <w:rPr>
          <w:rFonts w:hint="eastAsia" w:hAnsi="宋体"/>
          <w:kern w:val="2"/>
          <w:szCs w:val="24"/>
        </w:rPr>
      </w:pPr>
    </w:p>
    <w:p>
      <w:pPr>
        <w:pStyle w:val="10"/>
        <w:adjustRightInd/>
        <w:spacing w:line="240" w:lineRule="auto"/>
        <w:textAlignment w:val="auto"/>
        <w:rPr>
          <w:rFonts w:hint="eastAsia" w:hAnsi="宋体"/>
          <w:kern w:val="2"/>
          <w:szCs w:val="24"/>
        </w:rPr>
      </w:pPr>
    </w:p>
    <w:p>
      <w:pPr>
        <w:pStyle w:val="10"/>
        <w:adjustRightInd/>
        <w:spacing w:line="240" w:lineRule="auto"/>
        <w:textAlignment w:val="auto"/>
        <w:rPr>
          <w:rFonts w:hint="eastAsia" w:hAnsi="宋体"/>
          <w:kern w:val="2"/>
          <w:szCs w:val="24"/>
        </w:rPr>
      </w:pPr>
    </w:p>
    <w:p>
      <w:pPr>
        <w:pStyle w:val="10"/>
        <w:adjustRightInd/>
        <w:spacing w:line="240" w:lineRule="auto"/>
        <w:textAlignment w:val="auto"/>
        <w:rPr>
          <w:rFonts w:hint="eastAsia" w:hAnsi="宋体"/>
          <w:kern w:val="2"/>
          <w:szCs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bCs/>
          <w:sz w:val="36"/>
          <w:szCs w:val="36"/>
          <w:lang w:val="zh-CN"/>
        </w:rPr>
        <w:t>JZNY-FYSWZ80-202</w:t>
      </w:r>
      <w:r>
        <w:rPr>
          <w:rFonts w:hint="eastAsia" w:ascii="黑体" w:hAnsi="宋体" w:eastAsia="黑体" w:cs="宋体"/>
          <w:bCs/>
          <w:sz w:val="36"/>
          <w:szCs w:val="36"/>
          <w:lang w:val="en-US" w:eastAsia="zh-CN"/>
        </w:rPr>
        <w:t>2</w:t>
      </w:r>
      <w:r>
        <w:rPr>
          <w:rFonts w:hint="eastAsia" w:ascii="黑体" w:hAnsi="宋体" w:eastAsia="黑体" w:cs="宋体"/>
          <w:bCs/>
          <w:sz w:val="36"/>
          <w:szCs w:val="36"/>
          <w:lang w:val="zh-CN"/>
        </w:rPr>
        <w:t>-</w:t>
      </w:r>
      <w:r>
        <w:rPr>
          <w:rFonts w:hint="eastAsia" w:ascii="黑体" w:hAnsi="宋体" w:eastAsia="黑体" w:cs="宋体"/>
          <w:bCs/>
          <w:sz w:val="36"/>
          <w:szCs w:val="36"/>
          <w:highlight w:val="none"/>
          <w:lang w:val="en-US" w:eastAsia="zh-CN"/>
        </w:rPr>
        <w:t>262</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 xml:space="preserve">招标人：沈阳昊诚电气有限公司  </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autoSpaceDE w:val="0"/>
        <w:autoSpaceDN w:val="0"/>
        <w:adjustRightInd w:val="0"/>
        <w:jc w:val="center"/>
        <w:rPr>
          <w:rFonts w:hint="eastAsia" w:ascii="黑体" w:eastAsia="黑体"/>
          <w:b/>
          <w:caps/>
          <w:sz w:val="28"/>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年四月</w:t>
      </w:r>
    </w:p>
    <w:p>
      <w:pPr>
        <w:tabs>
          <w:tab w:val="left" w:pos="482"/>
        </w:tabs>
        <w:ind w:right="-409" w:firstLine="3654" w:firstLineChars="1300"/>
        <w:jc w:val="both"/>
        <w:rPr>
          <w:rFonts w:hint="eastAsia" w:ascii="宋体" w:hAnsi="宋体"/>
          <w:b/>
          <w:bCs/>
          <w:sz w:val="28"/>
        </w:rPr>
      </w:pPr>
      <w:r>
        <w:rPr>
          <w:rFonts w:hint="eastAsia" w:ascii="宋体" w:hAnsi="宋体"/>
          <w:b/>
          <w:bCs/>
          <w:sz w:val="28"/>
        </w:rPr>
        <w:t>投标须知前附表</w:t>
      </w:r>
    </w:p>
    <w:p>
      <w:pPr>
        <w:tabs>
          <w:tab w:val="left" w:pos="482"/>
        </w:tabs>
        <w:ind w:right="-409"/>
        <w:jc w:val="both"/>
        <w:rPr>
          <w:rFonts w:hint="eastAsia" w:ascii="宋体" w:hAnsi="宋体"/>
          <w:b/>
          <w:bCs/>
          <w:sz w:val="28"/>
        </w:rPr>
      </w:pPr>
    </w:p>
    <w:tbl>
      <w:tblPr>
        <w:tblStyle w:val="7"/>
        <w:tblW w:w="10246" w:type="dxa"/>
        <w:jc w:val="center"/>
        <w:tblLayout w:type="fixed"/>
        <w:tblCellMar>
          <w:top w:w="0" w:type="dxa"/>
          <w:left w:w="108" w:type="dxa"/>
          <w:bottom w:w="0" w:type="dxa"/>
          <w:right w:w="108" w:type="dxa"/>
        </w:tblCellMar>
      </w:tblPr>
      <w:tblGrid>
        <w:gridCol w:w="803"/>
        <w:gridCol w:w="1993"/>
        <w:gridCol w:w="3966"/>
        <w:gridCol w:w="3484"/>
      </w:tblGrid>
      <w:tr>
        <w:tblPrEx>
          <w:tblCellMar>
            <w:top w:w="0" w:type="dxa"/>
            <w:left w:w="108" w:type="dxa"/>
            <w:bottom w:w="0" w:type="dxa"/>
            <w:right w:w="108" w:type="dxa"/>
          </w:tblCellMar>
        </w:tblPrEx>
        <w:trPr>
          <w:trHeight w:val="5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8460"/>
                <w:tab w:val="right" w:leader="dot" w:pos="10800"/>
              </w:tabs>
              <w:spacing w:line="360" w:lineRule="auto"/>
              <w:ind w:right="-60"/>
              <w:jc w:val="both"/>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富裕县2*40MW农林生物质热电项目（一期二期）</w:t>
            </w:r>
          </w:p>
          <w:p>
            <w:pPr>
              <w:tabs>
                <w:tab w:val="left" w:pos="0"/>
                <w:tab w:val="decimal" w:pos="8460"/>
                <w:tab w:val="right" w:leader="dot" w:pos="10800"/>
              </w:tabs>
              <w:spacing w:line="360" w:lineRule="auto"/>
              <w:ind w:right="-60"/>
              <w:jc w:val="both"/>
              <w:rPr>
                <w:rFonts w:hint="default" w:ascii="宋体" w:hAnsi="宋体" w:eastAsia="宋体" w:cs="宋体"/>
                <w:lang w:val="en-US" w:eastAsia="zh-CN"/>
              </w:rPr>
            </w:pPr>
            <w:r>
              <w:rPr>
                <w:rFonts w:hint="eastAsia" w:ascii="宋体" w:hAnsi="宋体" w:eastAsia="宋体" w:cs="宋体"/>
                <w:b/>
                <w:bCs/>
                <w:sz w:val="21"/>
                <w:szCs w:val="21"/>
                <w:highlight w:val="yellow"/>
                <w:lang w:val="en-US" w:eastAsia="zh-CN"/>
              </w:rPr>
              <w:t>启动锅炉房钢结构工程</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rPr>
            </w:pPr>
            <w:r>
              <w:rPr>
                <w:rFonts w:hint="eastAsia"/>
                <w:color w:val="000000"/>
                <w:szCs w:val="21"/>
                <w:lang w:val="en-US" w:eastAsia="zh-CN"/>
              </w:rPr>
              <w:t>富裕县工业园区内</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ascii="宋体" w:hAnsi="宋体" w:cs="宋体"/>
                <w:lang w:val="en-US" w:eastAsia="zh-CN"/>
              </w:rPr>
              <w:t>2*40MW生物质热电项目</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color w:val="000000"/>
                <w:szCs w:val="21"/>
                <w:highlight w:val="yellow"/>
                <w:lang w:val="en-US" w:eastAsia="zh-CN"/>
              </w:rPr>
              <w:t>2022年6月1日开工-2022年6月30日完工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rPr>
              <w:t>见投标人须知第</w:t>
            </w:r>
            <w:r>
              <w:rPr>
                <w:rFonts w:hint="eastAsia" w:ascii="宋体" w:hAnsi="宋体" w:cs="宋体"/>
                <w:lang w:val="en-US" w:eastAsia="zh-CN"/>
              </w:rPr>
              <w:t>1</w:t>
            </w:r>
            <w:r>
              <w:rPr>
                <w:rFonts w:hint="eastAsia" w:ascii="宋体" w:hAnsi="宋体" w:cs="宋体"/>
              </w:rPr>
              <w:t>条</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企业自筹资金</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82"/>
              </w:tabs>
              <w:wordWrap/>
              <w:ind w:right="-409"/>
              <w:jc w:val="left"/>
              <w:rPr>
                <w:rFonts w:hint="eastAsia" w:ascii="宋体" w:hAnsi="宋体" w:cs="宋体"/>
                <w:lang w:val="zh-CN"/>
              </w:rPr>
            </w:pPr>
            <w:r>
              <w:rPr>
                <w:rFonts w:hint="eastAsia" w:ascii="宋体" w:hAnsi="宋体" w:cs="宋体"/>
                <w:lang w:val="zh-CN"/>
              </w:rPr>
              <w:t>详见投标须知</w:t>
            </w:r>
          </w:p>
        </w:tc>
      </w:tr>
      <w:tr>
        <w:tblPrEx>
          <w:tblCellMar>
            <w:top w:w="0" w:type="dxa"/>
            <w:left w:w="108" w:type="dxa"/>
            <w:bottom w:w="0" w:type="dxa"/>
            <w:right w:w="108" w:type="dxa"/>
          </w:tblCellMar>
        </w:tblPrEx>
        <w:trPr>
          <w:trHeight w:val="37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ascii="宋体" w:hAnsi="宋体" w:eastAsia="宋体" w:cs="宋体"/>
                <w:lang w:val="en-US" w:eastAsia="zh-CN"/>
              </w:rPr>
              <w:t>壹万元</w:t>
            </w:r>
          </w:p>
        </w:tc>
      </w:tr>
      <w:tr>
        <w:tblPrEx>
          <w:tblCellMar>
            <w:top w:w="0" w:type="dxa"/>
            <w:left w:w="108" w:type="dxa"/>
            <w:bottom w:w="0" w:type="dxa"/>
            <w:right w:w="108" w:type="dxa"/>
          </w:tblCellMar>
        </w:tblPrEx>
        <w:trPr>
          <w:trHeight w:val="50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不组织标签会，投标商自行安排现场踏勘。</w:t>
            </w:r>
          </w:p>
        </w:tc>
      </w:tr>
      <w:tr>
        <w:tblPrEx>
          <w:tblCellMar>
            <w:top w:w="0" w:type="dxa"/>
            <w:left w:w="108" w:type="dxa"/>
            <w:bottom w:w="0" w:type="dxa"/>
            <w:right w:w="108" w:type="dxa"/>
          </w:tblCellMar>
        </w:tblPrEx>
        <w:trPr>
          <w:trHeight w:val="44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投电子版标书独立文档</w:t>
            </w:r>
            <w:r>
              <w:rPr>
                <w:rFonts w:hint="eastAsia" w:ascii="宋体" w:hAnsi="宋体" w:cs="宋体"/>
                <w:lang w:val="en-US" w:eastAsia="zh-CN"/>
              </w:rPr>
              <w:t>2</w:t>
            </w:r>
            <w:r>
              <w:rPr>
                <w:rFonts w:hint="eastAsia" w:ascii="宋体" w:hAnsi="宋体" w:cs="宋体"/>
                <w:lang w:val="zh-CN"/>
              </w:rPr>
              <w:t>份</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1.商务技术一份</w:t>
            </w:r>
            <w:r>
              <w:rPr>
                <w:rFonts w:hint="eastAsia" w:ascii="宋体" w:hAnsi="宋体" w:cs="宋体"/>
                <w:lang w:val="zh-CN" w:eastAsia="zh-CN"/>
              </w:rPr>
              <w:t>（不体现报价）</w:t>
            </w:r>
            <w:r>
              <w:rPr>
                <w:rFonts w:hint="eastAsia" w:ascii="宋体" w:hAnsi="宋体" w:cs="宋体"/>
                <w:lang w:val="zh-CN"/>
              </w:rPr>
              <w:t>，</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2</w:t>
            </w:r>
            <w:r>
              <w:rPr>
                <w:rFonts w:hint="eastAsia" w:ascii="宋体" w:hAnsi="宋体" w:cs="宋体"/>
                <w:lang w:val="zh-CN"/>
              </w:rPr>
              <w:t>.报价单</w:t>
            </w:r>
            <w:r>
              <w:rPr>
                <w:rFonts w:hint="eastAsia" w:ascii="宋体" w:hAnsi="宋体" w:cs="宋体"/>
                <w:lang w:val="zh-CN" w:eastAsia="zh-CN"/>
              </w:rPr>
              <w:t>一份（</w:t>
            </w:r>
            <w:r>
              <w:rPr>
                <w:rFonts w:hint="eastAsia" w:ascii="宋体" w:hAnsi="宋体" w:cs="宋体"/>
                <w:lang w:val="zh-CN"/>
              </w:rPr>
              <w:t>PDF和Excel各一份</w:t>
            </w:r>
            <w:r>
              <w:rPr>
                <w:rFonts w:hint="eastAsia" w:ascii="宋体" w:hAnsi="宋体" w:cs="宋体"/>
                <w:lang w:val="zh-CN" w:eastAsia="zh-CN"/>
              </w:rPr>
              <w:t>）</w:t>
            </w:r>
          </w:p>
        </w:tc>
      </w:tr>
      <w:tr>
        <w:tblPrEx>
          <w:tblCellMar>
            <w:top w:w="0" w:type="dxa"/>
            <w:left w:w="108" w:type="dxa"/>
            <w:bottom w:w="0" w:type="dxa"/>
            <w:right w:w="108" w:type="dxa"/>
          </w:tblCellMar>
        </w:tblPrEx>
        <w:trPr>
          <w:trHeight w:val="471"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highlight w:val="yellow"/>
                <w:lang w:val="zh-CN"/>
              </w:rPr>
              <w:t>20</w:t>
            </w:r>
            <w:r>
              <w:rPr>
                <w:rFonts w:hint="eastAsia" w:ascii="宋体" w:hAnsi="宋体" w:cs="宋体"/>
                <w:highlight w:val="yellow"/>
                <w:lang w:val="en-US" w:eastAsia="zh-CN"/>
              </w:rPr>
              <w:t>22</w:t>
            </w:r>
            <w:r>
              <w:rPr>
                <w:rFonts w:hint="eastAsia" w:ascii="宋体" w:hAnsi="宋体" w:cs="宋体"/>
                <w:highlight w:val="yellow"/>
                <w:lang w:val="zh-CN"/>
              </w:rPr>
              <w:t>年</w:t>
            </w:r>
            <w:r>
              <w:rPr>
                <w:rFonts w:hint="eastAsia" w:ascii="宋体" w:hAnsi="宋体" w:cs="宋体"/>
                <w:highlight w:val="yellow"/>
                <w:lang w:val="en-US" w:eastAsia="zh-CN"/>
              </w:rPr>
              <w:t>4</w:t>
            </w:r>
            <w:r>
              <w:rPr>
                <w:rFonts w:hint="eastAsia" w:ascii="宋体" w:hAnsi="宋体" w:cs="宋体"/>
                <w:highlight w:val="yellow"/>
                <w:lang w:val="zh-CN"/>
              </w:rPr>
              <w:t>月</w:t>
            </w:r>
            <w:r>
              <w:rPr>
                <w:rFonts w:hint="eastAsia" w:ascii="宋体" w:hAnsi="宋体" w:cs="宋体"/>
                <w:highlight w:val="yellow"/>
                <w:lang w:val="en-US" w:eastAsia="zh-CN"/>
              </w:rPr>
              <w:t>28</w:t>
            </w:r>
            <w:r>
              <w:rPr>
                <w:rFonts w:hint="eastAsia" w:ascii="宋体" w:hAnsi="宋体" w:cs="宋体"/>
                <w:highlight w:val="yellow"/>
                <w:lang w:val="zh-CN"/>
              </w:rPr>
              <w:t>日下午</w:t>
            </w:r>
            <w:r>
              <w:rPr>
                <w:rFonts w:hint="eastAsia" w:ascii="宋体" w:hAnsi="宋体" w:cs="宋体"/>
                <w:highlight w:val="yellow"/>
                <w:lang w:val="en-US" w:eastAsia="zh-CN"/>
              </w:rPr>
              <w:t>14</w:t>
            </w:r>
            <w:r>
              <w:rPr>
                <w:rFonts w:hint="eastAsia" w:ascii="宋体" w:hAnsi="宋体" w:cs="宋体"/>
                <w:highlight w:val="yellow"/>
                <w:lang w:val="zh-CN"/>
              </w:rPr>
              <w:t>时整</w:t>
            </w:r>
          </w:p>
        </w:tc>
      </w:tr>
      <w:tr>
        <w:tblPrEx>
          <w:tblCellMar>
            <w:top w:w="0" w:type="dxa"/>
            <w:left w:w="108" w:type="dxa"/>
            <w:bottom w:w="0" w:type="dxa"/>
            <w:right w:w="108" w:type="dxa"/>
          </w:tblCellMar>
        </w:tblPrEx>
        <w:trPr>
          <w:trHeight w:val="449"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ascii="Times New Roman" w:hAnsi="Times New Roman" w:eastAsia="宋体" w:cs="Times New Roman"/>
                <w:szCs w:val="21"/>
              </w:rPr>
              <w:t>电子开标，无需到现场，请将投标文件发至</w:t>
            </w:r>
            <w:r>
              <w:rPr>
                <w:rFonts w:hint="eastAsia" w:ascii="Times New Roman" w:hAnsi="Times New Roman" w:eastAsia="宋体" w:cs="Times New Roman"/>
                <w:szCs w:val="21"/>
                <w:lang w:val="en-US" w:eastAsia="zh-CN"/>
              </w:rPr>
              <w:t>邮箱：</w:t>
            </w:r>
            <w:r>
              <w:rPr>
                <w:rFonts w:hint="eastAsia" w:ascii="Times New Roman" w:hAnsi="Times New Roman" w:eastAsia="宋体" w:cs="Times New Roman"/>
                <w:szCs w:val="21"/>
                <w:highlight w:val="yellow"/>
                <w:lang w:val="en-US" w:eastAsia="zh-CN"/>
              </w:rPr>
              <w:t>zb</w:t>
            </w:r>
            <w:r>
              <w:rPr>
                <w:rFonts w:hint="eastAsia" w:ascii="Times New Roman" w:hAnsi="Times New Roman" w:eastAsia="宋体" w:cs="Times New Roman"/>
                <w:highlight w:val="yellow"/>
              </w:rPr>
              <w:t>@</w:t>
            </w:r>
            <w:r>
              <w:rPr>
                <w:rFonts w:hint="eastAsia" w:ascii="Times New Roman" w:hAnsi="Times New Roman" w:eastAsia="宋体" w:cs="Times New Roman"/>
                <w:highlight w:val="yellow"/>
                <w:lang w:val="en-US" w:eastAsia="zh-CN"/>
              </w:rPr>
              <w:t>jze.</w:t>
            </w:r>
            <w:r>
              <w:rPr>
                <w:rFonts w:hint="eastAsia" w:ascii="Times New Roman" w:hAnsi="Times New Roman" w:eastAsia="宋体" w:cs="Times New Roman"/>
                <w:highlight w:val="yellow"/>
              </w:rPr>
              <w:t>com</w:t>
            </w:r>
            <w:r>
              <w:rPr>
                <w:rFonts w:hint="eastAsia" w:ascii="Times New Roman" w:hAnsi="Times New Roman" w:eastAsia="宋体" w:cs="Times New Roman"/>
                <w:highlight w:val="yellow"/>
                <w:lang w:val="en-US" w:eastAsia="zh-CN"/>
              </w:rPr>
              <w:t>.cn</w:t>
            </w:r>
          </w:p>
        </w:tc>
      </w:tr>
      <w:tr>
        <w:tblPrEx>
          <w:tblCellMar>
            <w:top w:w="0" w:type="dxa"/>
            <w:left w:w="108" w:type="dxa"/>
            <w:bottom w:w="0" w:type="dxa"/>
            <w:right w:w="108" w:type="dxa"/>
          </w:tblCellMar>
        </w:tblPrEx>
        <w:trPr>
          <w:trHeight w:val="40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时间：20</w:t>
            </w:r>
            <w:r>
              <w:rPr>
                <w:rFonts w:hint="eastAsia" w:ascii="宋体" w:hAnsi="宋体" w:cs="宋体"/>
                <w:highlight w:val="yellow"/>
                <w:lang w:val="en-US" w:eastAsia="zh-CN"/>
              </w:rPr>
              <w:t>22</w:t>
            </w:r>
            <w:r>
              <w:rPr>
                <w:rFonts w:hint="eastAsia" w:ascii="宋体" w:hAnsi="宋体" w:cs="宋体"/>
                <w:highlight w:val="yellow"/>
                <w:lang w:val="zh-CN"/>
              </w:rPr>
              <w:t>年</w:t>
            </w:r>
            <w:r>
              <w:rPr>
                <w:rFonts w:hint="eastAsia" w:ascii="宋体" w:hAnsi="宋体" w:cs="宋体"/>
                <w:highlight w:val="yellow"/>
                <w:lang w:val="en-US" w:eastAsia="zh-CN"/>
              </w:rPr>
              <w:t>4</w:t>
            </w:r>
            <w:r>
              <w:rPr>
                <w:rFonts w:hint="eastAsia" w:ascii="宋体" w:hAnsi="宋体" w:cs="宋体"/>
                <w:highlight w:val="yellow"/>
                <w:lang w:val="zh-CN"/>
              </w:rPr>
              <w:t>月</w:t>
            </w:r>
            <w:r>
              <w:rPr>
                <w:rFonts w:hint="eastAsia" w:ascii="宋体" w:hAnsi="宋体" w:cs="宋体"/>
                <w:highlight w:val="yellow"/>
                <w:lang w:val="en-US" w:eastAsia="zh-CN"/>
              </w:rPr>
              <w:t>28</w:t>
            </w:r>
            <w:r>
              <w:rPr>
                <w:rFonts w:hint="eastAsia" w:ascii="宋体" w:hAnsi="宋体" w:cs="宋体"/>
                <w:highlight w:val="yellow"/>
                <w:lang w:val="zh-CN"/>
              </w:rPr>
              <w:t>日下午</w:t>
            </w:r>
            <w:r>
              <w:rPr>
                <w:rFonts w:hint="eastAsia" w:ascii="宋体" w:hAnsi="宋体" w:cs="宋体"/>
                <w:highlight w:val="yellow"/>
                <w:lang w:val="en-US" w:eastAsia="zh-CN"/>
              </w:rPr>
              <w:t>14</w:t>
            </w:r>
            <w:r>
              <w:rPr>
                <w:rFonts w:hint="eastAsia" w:ascii="宋体" w:hAnsi="宋体" w:cs="宋体"/>
                <w:highlight w:val="yellow"/>
                <w:lang w:val="zh-CN"/>
              </w:rPr>
              <w:t>时整</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邮箱地址</w:t>
            </w:r>
            <w:r>
              <w:rPr>
                <w:rFonts w:hint="eastAsia" w:ascii="宋体" w:hAnsi="宋体" w:cs="宋体"/>
                <w:lang w:val="zh-CN"/>
              </w:rPr>
              <w:t>：</w:t>
            </w:r>
            <w:r>
              <w:rPr>
                <w:rFonts w:hint="eastAsia" w:ascii="Times New Roman" w:hAnsi="Times New Roman" w:eastAsia="宋体" w:cs="Times New Roman"/>
                <w:szCs w:val="21"/>
                <w:lang w:val="en-US" w:eastAsia="zh-CN"/>
              </w:rPr>
              <w:t>zb</w:t>
            </w:r>
            <w:r>
              <w:rPr>
                <w:rFonts w:hint="eastAsia" w:ascii="Times New Roman" w:hAnsi="Times New Roman" w:eastAsia="宋体" w:cs="Times New Roman"/>
              </w:rPr>
              <w:t>@</w:t>
            </w:r>
            <w:r>
              <w:rPr>
                <w:rFonts w:hint="eastAsia" w:ascii="Times New Roman" w:hAnsi="Times New Roman" w:eastAsia="宋体"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.cn</w:t>
            </w:r>
          </w:p>
        </w:tc>
      </w:tr>
      <w:tr>
        <w:tblPrEx>
          <w:tblCellMar>
            <w:top w:w="0" w:type="dxa"/>
            <w:left w:w="108" w:type="dxa"/>
            <w:bottom w:w="0" w:type="dxa"/>
            <w:right w:w="108" w:type="dxa"/>
          </w:tblCellMar>
        </w:tblPrEx>
        <w:trPr>
          <w:trHeight w:val="498"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从投标截止日起</w:t>
            </w:r>
            <w:r>
              <w:rPr>
                <w:rFonts w:hint="eastAsia" w:ascii="宋体" w:hAnsi="宋体" w:cs="宋体"/>
                <w:u w:val="single"/>
                <w:lang w:val="zh-CN"/>
              </w:rPr>
              <w:t xml:space="preserve"> </w:t>
            </w:r>
            <w:r>
              <w:rPr>
                <w:rFonts w:hint="eastAsia" w:ascii="宋体" w:hAnsi="宋体" w:cs="宋体"/>
                <w:u w:val="single"/>
                <w:lang w:val="en-US" w:eastAsia="zh-CN"/>
              </w:rPr>
              <w:t>90</w:t>
            </w:r>
            <w:r>
              <w:rPr>
                <w:rFonts w:hint="eastAsia" w:ascii="宋体" w:hAnsi="宋体" w:cs="宋体"/>
                <w:u w:val="single"/>
                <w:lang w:val="zh-CN"/>
              </w:rPr>
              <w:t xml:space="preserve"> </w:t>
            </w:r>
            <w:r>
              <w:rPr>
                <w:rFonts w:hint="eastAsia" w:ascii="宋体" w:hAnsi="宋体" w:cs="宋体"/>
                <w:lang w:val="zh-CN"/>
              </w:rPr>
              <w:t>天</w:t>
            </w:r>
          </w:p>
        </w:tc>
      </w:tr>
      <w:tr>
        <w:tblPrEx>
          <w:tblCellMar>
            <w:top w:w="0" w:type="dxa"/>
            <w:left w:w="108" w:type="dxa"/>
            <w:bottom w:w="0" w:type="dxa"/>
            <w:right w:w="108" w:type="dxa"/>
          </w:tblCellMar>
        </w:tblPrEx>
        <w:trPr>
          <w:cantSplit/>
          <w:trHeight w:val="765"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39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eastAsia" w:ascii="宋体" w:hAnsi="宋体" w:cs="宋体"/>
                <w:highlight w:val="none"/>
              </w:rPr>
            </w:pPr>
            <w:r>
              <w:rPr>
                <w:rFonts w:hint="eastAsia" w:ascii="宋体" w:hAnsi="宋体" w:cs="宋体"/>
                <w:highlight w:val="none"/>
                <w:lang w:val="en-US" w:eastAsia="zh-CN"/>
              </w:rPr>
              <w:t>商务</w:t>
            </w:r>
            <w:r>
              <w:rPr>
                <w:rFonts w:hint="eastAsia" w:ascii="宋体" w:hAnsi="宋体" w:cs="宋体"/>
                <w:highlight w:val="none"/>
              </w:rPr>
              <w:t>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rPr>
                <w:rFonts w:hint="default" w:ascii="宋体" w:hAnsi="宋体" w:cs="宋体"/>
                <w:highlight w:val="none"/>
                <w:lang w:val="en-US"/>
              </w:rPr>
            </w:pPr>
            <w:r>
              <w:rPr>
                <w:rFonts w:hint="eastAsia" w:ascii="宋体" w:hAnsi="宋体" w:cs="宋体"/>
                <w:highlight w:val="none"/>
              </w:rPr>
              <w:t>电    话：</w:t>
            </w:r>
            <w:r>
              <w:rPr>
                <w:rFonts w:hint="eastAsia" w:ascii="宋体" w:hAnsi="宋体"/>
                <w:highlight w:val="none"/>
                <w:lang w:val="en-US" w:eastAsia="zh-CN"/>
              </w:rPr>
              <w:t>18246093616</w:t>
            </w:r>
          </w:p>
          <w:p>
            <w:pPr>
              <w:widowControl/>
              <w:spacing w:line="0" w:lineRule="atLeast"/>
              <w:jc w:val="left"/>
              <w:rPr>
                <w:rFonts w:hint="eastAsia" w:ascii="宋体" w:hAnsi="宋体" w:cs="宋体"/>
                <w:color w:val="000000"/>
                <w:highlight w:val="yellow"/>
                <w:lang w:val="zh-CN"/>
              </w:rPr>
            </w:pPr>
            <w:r>
              <w:rPr>
                <w:rFonts w:hint="eastAsia" w:ascii="宋体" w:hAnsi="宋体" w:cs="宋体"/>
                <w:highlight w:val="none"/>
              </w:rPr>
              <w:t>电子邮箱：</w:t>
            </w:r>
            <w:r>
              <w:rPr>
                <w:rFonts w:hint="eastAsia" w:ascii="宋体" w:hAnsi="宋体" w:cs="宋体"/>
                <w:color w:val="000000"/>
                <w:kern w:val="0"/>
                <w:sz w:val="24"/>
                <w:szCs w:val="24"/>
                <w:highlight w:val="none"/>
              </w:rPr>
              <w:fldChar w:fldCharType="begin"/>
            </w:r>
            <w:r>
              <w:rPr>
                <w:rFonts w:hint="eastAsia" w:ascii="宋体" w:hAnsi="宋体" w:cs="宋体"/>
                <w:color w:val="000000"/>
                <w:kern w:val="0"/>
                <w:sz w:val="24"/>
                <w:szCs w:val="24"/>
                <w:highlight w:val="none"/>
              </w:rPr>
              <w:instrText xml:space="preserve"> HYPERLINK "mailto:jzcg8@jiuzhougroup.com" </w:instrText>
            </w:r>
            <w:r>
              <w:rPr>
                <w:rFonts w:hint="eastAsia" w:ascii="宋体" w:hAnsi="宋体" w:cs="宋体"/>
                <w:color w:val="000000"/>
                <w:kern w:val="0"/>
                <w:sz w:val="24"/>
                <w:szCs w:val="24"/>
                <w:highlight w:val="none"/>
              </w:rPr>
              <w:fldChar w:fldCharType="separate"/>
            </w:r>
            <w:r>
              <w:rPr>
                <w:rStyle w:val="9"/>
                <w:rFonts w:hint="eastAsia" w:ascii="宋体" w:hAnsi="宋体" w:cs="宋体"/>
                <w:color w:val="000000"/>
                <w:kern w:val="0"/>
                <w:sz w:val="24"/>
                <w:szCs w:val="24"/>
                <w:highlight w:val="none"/>
              </w:rPr>
              <w:t>jzcg8@jiuzhougroup.com</w:t>
            </w:r>
            <w:r>
              <w:rPr>
                <w:rFonts w:hint="eastAsia" w:ascii="宋体" w:hAnsi="宋体" w:cs="宋体"/>
                <w:color w:val="000000"/>
                <w:kern w:val="0"/>
                <w:sz w:val="24"/>
                <w:szCs w:val="24"/>
                <w:highlight w:val="none"/>
              </w:rPr>
              <w:fldChar w:fldCharType="end"/>
            </w:r>
          </w:p>
        </w:tc>
        <w:tc>
          <w:tcPr>
            <w:tcW w:w="34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default" w:ascii="宋体" w:hAnsi="宋体"/>
                <w:highlight w:val="none"/>
                <w:lang w:val="en-US" w:eastAsia="zh-CN"/>
              </w:rPr>
            </w:pPr>
            <w:r>
              <w:rPr>
                <w:rFonts w:hint="eastAsia" w:ascii="宋体" w:hAnsi="宋体" w:cs="宋体"/>
                <w:highlight w:val="none"/>
                <w:lang w:val="en-US" w:eastAsia="zh-CN"/>
              </w:rPr>
              <w:t>技术</w:t>
            </w:r>
            <w:r>
              <w:rPr>
                <w:rFonts w:hint="eastAsia" w:ascii="宋体" w:hAnsi="宋体" w:cs="宋体"/>
                <w:highlight w:val="none"/>
              </w:rPr>
              <w:t>联系人：</w:t>
            </w:r>
            <w:r>
              <w:rPr>
                <w:rFonts w:hint="eastAsia" w:ascii="宋体" w:hAnsi="宋体"/>
                <w:highlight w:val="none"/>
                <w:lang w:val="en-US" w:eastAsia="zh-CN"/>
              </w:rPr>
              <w:t>杜  鹏</w:t>
            </w:r>
          </w:p>
          <w:p>
            <w:pPr>
              <w:tabs>
                <w:tab w:val="left" w:pos="0"/>
                <w:tab w:val="decimal" w:pos="6240"/>
                <w:tab w:val="right" w:pos="9600"/>
                <w:tab w:val="right" w:leader="dot" w:pos="10800"/>
              </w:tabs>
              <w:autoSpaceDE w:val="0"/>
              <w:autoSpaceDN w:val="0"/>
              <w:spacing w:line="360" w:lineRule="auto"/>
              <w:ind w:right="-1133"/>
              <w:rPr>
                <w:rFonts w:hint="default" w:ascii="宋体" w:hAnsi="宋体"/>
                <w:highlight w:val="none"/>
                <w:lang w:val="en-US" w:eastAsia="zh-CN"/>
              </w:rPr>
            </w:pPr>
            <w:r>
              <w:rPr>
                <w:rFonts w:hint="eastAsia" w:ascii="宋体" w:hAnsi="宋体" w:cs="宋体"/>
                <w:highlight w:val="none"/>
              </w:rPr>
              <w:t>电    话：</w:t>
            </w:r>
            <w:r>
              <w:rPr>
                <w:rFonts w:hint="eastAsia" w:ascii="宋体" w:hAnsi="宋体"/>
                <w:highlight w:val="none"/>
                <w:lang w:val="en-US" w:eastAsia="zh-CN"/>
              </w:rPr>
              <w:t>15545243939</w:t>
            </w:r>
          </w:p>
          <w:p>
            <w:pPr>
              <w:adjustRightInd w:val="0"/>
              <w:snapToGrid w:val="0"/>
              <w:spacing w:line="0" w:lineRule="atLeast"/>
              <w:rPr>
                <w:rFonts w:hint="default" w:ascii="宋体" w:hAnsi="宋体" w:eastAsia="宋体" w:cs="宋体"/>
                <w:color w:val="000000"/>
                <w:highlight w:val="yellow"/>
                <w:lang w:val="en-US" w:eastAsia="zh-CN"/>
              </w:rPr>
            </w:pPr>
            <w:r>
              <w:rPr>
                <w:rFonts w:hint="eastAsia" w:ascii="宋体" w:hAnsi="宋体" w:cs="宋体"/>
                <w:highlight w:val="none"/>
              </w:rPr>
              <w:t>电子邮箱：</w:t>
            </w:r>
            <w:r>
              <w:rPr>
                <w:rFonts w:hint="eastAsia" w:ascii="宋体" w:hAnsi="宋体" w:cs="宋体"/>
                <w:highlight w:val="none"/>
                <w:lang w:val="en-US" w:eastAsia="zh-CN"/>
              </w:rPr>
              <w:t>542333666@qq.com</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en-US" w:eastAsia="zh-CN"/>
              </w:rPr>
            </w:pPr>
            <w:r>
              <w:rPr>
                <w:rFonts w:hint="eastAsia" w:ascii="宋体" w:hAnsi="宋体" w:cs="宋体"/>
                <w:lang w:val="en-US" w:eastAsia="zh-CN"/>
              </w:rPr>
              <w:t>标书费、保证金</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汇款账户</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eastAsia="宋体"/>
                <w:lang w:val="en-US" w:eastAsia="zh-CN"/>
              </w:rPr>
            </w:pPr>
            <w:r>
              <w:rPr>
                <w:rFonts w:hint="eastAsia"/>
                <w:lang w:val="en-US" w:eastAsia="zh-CN"/>
              </w:rPr>
              <w:t>标书费：500元，投标保证金：10000元</w:t>
            </w:r>
          </w:p>
          <w:p>
            <w:pPr>
              <w:autoSpaceDE w:val="0"/>
              <w:autoSpaceDN w:val="0"/>
              <w:adjustRightInd w:val="0"/>
              <w:spacing w:line="360" w:lineRule="exact"/>
              <w:rPr>
                <w:rFonts w:hint="eastAsia"/>
              </w:rPr>
            </w:pPr>
            <w:r>
              <w:rPr>
                <w:rFonts w:hint="eastAsia"/>
              </w:rPr>
              <w:t>户名：哈尔滨九洲</w:t>
            </w:r>
            <w:r>
              <w:rPr>
                <w:rFonts w:hint="eastAsia"/>
                <w:lang w:val="en-US" w:eastAsia="zh-CN"/>
              </w:rPr>
              <w:t>集团</w:t>
            </w:r>
            <w:r>
              <w:rPr>
                <w:rFonts w:hint="eastAsia"/>
              </w:rPr>
              <w:t>股份有限公司</w:t>
            </w:r>
          </w:p>
          <w:p>
            <w:pPr>
              <w:autoSpaceDE w:val="0"/>
              <w:autoSpaceDN w:val="0"/>
              <w:adjustRightInd w:val="0"/>
              <w:spacing w:line="360" w:lineRule="exact"/>
              <w:rPr>
                <w:rFonts w:hint="eastAsia"/>
              </w:rPr>
            </w:pPr>
            <w:r>
              <w:rPr>
                <w:rFonts w:hint="eastAsia"/>
              </w:rPr>
              <w:t>开户行：中国建设银行股份有限公司哈尔滨铁道支行</w:t>
            </w:r>
          </w:p>
          <w:p>
            <w:pPr>
              <w:autoSpaceDE w:val="0"/>
              <w:autoSpaceDN w:val="0"/>
              <w:adjustRightInd w:val="0"/>
              <w:spacing w:line="360" w:lineRule="exact"/>
              <w:rPr>
                <w:rFonts w:hint="eastAsia"/>
              </w:rPr>
            </w:pPr>
            <w:r>
              <w:rPr>
                <w:rFonts w:hint="eastAsia"/>
              </w:rPr>
              <w:t>账号：23001867151050002942</w:t>
            </w:r>
          </w:p>
          <w:p>
            <w:pPr>
              <w:autoSpaceDE w:val="0"/>
              <w:autoSpaceDN w:val="0"/>
              <w:adjustRightInd w:val="0"/>
              <w:spacing w:line="360" w:lineRule="exact"/>
              <w:rPr>
                <w:rFonts w:hint="eastAsia" w:ascii="宋体" w:hAnsi="宋体" w:cs="宋体"/>
                <w:lang w:val="zh-CN"/>
              </w:rPr>
            </w:pPr>
            <w:r>
              <w:rPr>
                <w:rFonts w:hint="eastAsia"/>
              </w:rPr>
              <w:t>汇入城市：黑龙江省哈尔滨市</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kern w:val="2"/>
                <w:sz w:val="21"/>
                <w:szCs w:val="24"/>
                <w:lang w:val="zh-CN" w:eastAsia="zh-CN" w:bidi="ar-SA"/>
              </w:rPr>
            </w:pPr>
            <w:r>
              <w:rPr>
                <w:rFonts w:hint="eastAsia" w:ascii="宋体" w:hAnsi="宋体" w:cs="宋体"/>
                <w:lang w:val="en-US" w:eastAsia="zh-CN"/>
              </w:rPr>
              <w:t>18</w:t>
            </w:r>
          </w:p>
        </w:tc>
        <w:tc>
          <w:tcPr>
            <w:tcW w:w="9443"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lang w:eastAsia="zh-CN"/>
              </w:rPr>
            </w:pPr>
            <w:r>
              <w:rPr>
                <w:rFonts w:hint="eastAsia"/>
              </w:rPr>
              <w:t>评标方法：综合评定法</w:t>
            </w:r>
            <w:r>
              <w:rPr>
                <w:rFonts w:hint="eastAsia"/>
                <w:lang w:eastAsia="zh-CN"/>
              </w:rPr>
              <w:t>，</w:t>
            </w:r>
          </w:p>
          <w:p>
            <w:pPr>
              <w:autoSpaceDE w:val="0"/>
              <w:autoSpaceDN w:val="0"/>
              <w:adjustRightInd w:val="0"/>
              <w:spacing w:line="360" w:lineRule="exact"/>
              <w:rPr>
                <w:rFonts w:hint="eastAsia"/>
              </w:rPr>
            </w:pPr>
            <w:r>
              <w:rPr>
                <w:rFonts w:hint="eastAsia" w:ascii="Times New Roman" w:hAnsi="Times New Roman" w:eastAsia="宋体" w:cs="Times New Roman"/>
                <w:kern w:val="2"/>
                <w:sz w:val="21"/>
                <w:szCs w:val="24"/>
                <w:lang w:val="en-US" w:eastAsia="zh-CN" w:bidi="ar-SA"/>
              </w:rPr>
              <w:t>中标服务费：中标方须支付中标服务费（合同总价的1%）,包含在总价中，不在单独列出。</w:t>
            </w:r>
          </w:p>
        </w:tc>
      </w:tr>
    </w:tbl>
    <w:p>
      <w:pPr>
        <w:tabs>
          <w:tab w:val="left" w:pos="482"/>
        </w:tabs>
        <w:wordWrap/>
        <w:ind w:right="-409"/>
        <w:jc w:val="center"/>
        <w:rPr>
          <w:rFonts w:hint="eastAsia" w:ascii="宋体" w:hAnsi="宋体"/>
          <w:bCs w:val="0"/>
          <w:sz w:val="28"/>
          <w:szCs w:val="28"/>
        </w:rPr>
      </w:pPr>
      <w:bookmarkStart w:id="0" w:name="_Toc172860326"/>
      <w:r>
        <w:rPr>
          <w:rFonts w:hint="eastAsia" w:ascii="宋体" w:hAnsi="宋体"/>
          <w:bCs w:val="0"/>
          <w:sz w:val="28"/>
          <w:szCs w:val="28"/>
        </w:rPr>
        <w:t>　投标须知</w:t>
      </w:r>
      <w:bookmarkEnd w:id="0"/>
    </w:p>
    <w:p>
      <w:pPr>
        <w:pStyle w:val="4"/>
        <w:rPr>
          <w:rFonts w:hint="eastAsia"/>
          <w:szCs w:val="24"/>
        </w:rPr>
      </w:pPr>
      <w:bookmarkStart w:id="1" w:name="_Toc172860327"/>
      <w:r>
        <w:rPr>
          <w:rFonts w:hint="eastAsia"/>
          <w:szCs w:val="24"/>
        </w:rPr>
        <w:t>总  则</w:t>
      </w:r>
      <w:bookmarkEnd w:id="1"/>
    </w:p>
    <w:p>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工程说明及招标范围</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工程说明</w:t>
      </w:r>
    </w:p>
    <w:p>
      <w:pPr>
        <w:numPr>
          <w:ilvl w:val="3"/>
          <w:numId w:val="1"/>
        </w:numPr>
        <w:tabs>
          <w:tab w:val="left" w:pos="1440"/>
        </w:tabs>
        <w:spacing w:line="360" w:lineRule="auto"/>
        <w:ind w:left="0" w:firstLine="480" w:firstLineChars="200"/>
        <w:rPr>
          <w:rFonts w:hint="eastAsia" w:ascii="宋体" w:hAnsi="宋体"/>
          <w:bCs/>
          <w:sz w:val="24"/>
          <w:lang w:val="en-US" w:eastAsia="zh-CN"/>
        </w:rPr>
      </w:pPr>
      <w:r>
        <w:rPr>
          <w:rFonts w:hint="eastAsia" w:ascii="宋体" w:hAnsi="宋体"/>
          <w:bCs/>
          <w:sz w:val="24"/>
        </w:rPr>
        <w:t>工程名称：</w:t>
      </w:r>
      <w:r>
        <w:rPr>
          <w:rFonts w:hint="eastAsia" w:ascii="宋体" w:hAnsi="宋体"/>
          <w:bCs/>
          <w:sz w:val="24"/>
          <w:lang w:val="en-US" w:eastAsia="zh-CN"/>
        </w:rPr>
        <w:t>富裕县2*40MW农林生物质热电项目（一期二期）</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建设地点：齐齐哈尔市</w:t>
      </w:r>
      <w:r>
        <w:rPr>
          <w:rFonts w:hint="eastAsia" w:ascii="宋体" w:hAnsi="宋体"/>
          <w:bCs/>
          <w:sz w:val="24"/>
          <w:lang w:val="en-US" w:eastAsia="zh-CN"/>
        </w:rPr>
        <w:t>富裕县工业园区内</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工程规模和性质：</w:t>
      </w:r>
      <w:r>
        <w:rPr>
          <w:rFonts w:hint="eastAsia" w:ascii="宋体" w:hAnsi="宋体"/>
          <w:sz w:val="24"/>
        </w:rPr>
        <w:t>本工程为新建电厂2×40MW机组</w:t>
      </w:r>
      <w:r>
        <w:rPr>
          <w:rFonts w:hint="eastAsia" w:ascii="宋体" w:hAnsi="宋体"/>
          <w:sz w:val="24"/>
          <w:lang w:val="en-US" w:eastAsia="zh-CN"/>
        </w:rPr>
        <w:t>启动锅炉房钢结构墙面屋面封闭材料及施工招标。</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质量标准：本工程质量标准必须全面达到国家和电力行业标准，本工程质量要求为优良等级，综合水平达国内一流</w:t>
      </w:r>
      <w:r>
        <w:rPr>
          <w:rFonts w:hint="eastAsia" w:ascii="宋体" w:hAnsi="宋体"/>
          <w:bCs/>
          <w:sz w:val="24"/>
          <w:lang w:eastAsia="zh-CN"/>
        </w:rPr>
        <w:t>。</w:t>
      </w:r>
      <w:r>
        <w:rPr>
          <w:rFonts w:hint="eastAsia" w:ascii="宋体" w:hAnsi="宋体"/>
          <w:bCs/>
          <w:sz w:val="24"/>
        </w:rPr>
        <w:t xml:space="preserve">  </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工期要求：</w:t>
      </w:r>
      <w:r>
        <w:rPr>
          <w:rFonts w:hint="eastAsia" w:ascii="宋体" w:hAnsi="宋体"/>
          <w:bCs/>
          <w:sz w:val="24"/>
          <w:lang w:val="en-US" w:eastAsia="zh-CN"/>
        </w:rPr>
        <w:t>2022年6月1日开工-2022年6月30日完工</w:t>
      </w:r>
      <w:r>
        <w:rPr>
          <w:rFonts w:hint="eastAsia" w:ascii="宋体" w:hAnsi="宋体"/>
          <w:sz w:val="24"/>
        </w:rPr>
        <w:t xml:space="preserve"> </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招标范围：</w:t>
      </w:r>
      <w:r>
        <w:rPr>
          <w:rFonts w:hint="eastAsia" w:ascii="宋体" w:hAnsi="宋体"/>
          <w:sz w:val="24"/>
        </w:rPr>
        <w:t>按照设计图纸要求，包工包料完成</w:t>
      </w:r>
      <w:r>
        <w:rPr>
          <w:rFonts w:hint="eastAsia" w:ascii="宋体" w:hAnsi="宋体"/>
          <w:sz w:val="24"/>
          <w:lang w:val="en-US" w:eastAsia="zh-CN"/>
        </w:rPr>
        <w:t>启动锅炉房钢结构墙面屋面封闭材料及施工(材料清单详见图纸)，推拉塑钢窗、百叶窗由乙方采购安装，门3600*4500由甲方采购安装，其余门均为钢质门由甲方采购乙方安装</w:t>
      </w:r>
      <w:r>
        <w:rPr>
          <w:rFonts w:hint="eastAsia" w:ascii="宋体" w:hAnsi="宋体"/>
          <w:sz w:val="24"/>
          <w:lang w:eastAsia="zh-CN"/>
        </w:rPr>
        <w:t>。</w:t>
      </w:r>
    </w:p>
    <w:p>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lang w:val="en-US" w:eastAsia="zh-CN"/>
        </w:rPr>
        <w:t>招标</w:t>
      </w:r>
      <w:r>
        <w:rPr>
          <w:rFonts w:hint="eastAsia" w:ascii="宋体" w:hAnsi="宋体"/>
          <w:bCs/>
          <w:sz w:val="24"/>
        </w:rPr>
        <w:t>名称:</w:t>
      </w:r>
      <w:r>
        <w:rPr>
          <w:rFonts w:hint="eastAsia" w:ascii="宋体" w:hAnsi="宋体"/>
          <w:bCs/>
          <w:sz w:val="24"/>
          <w:lang w:val="en-US" w:eastAsia="zh-CN"/>
        </w:rPr>
        <w:t>富裕县2*40MW农林生物质热电项目（一期二期）</w:t>
      </w:r>
      <w:r>
        <w:rPr>
          <w:rFonts w:hint="eastAsia" w:ascii="宋体" w:hAnsi="宋体"/>
          <w:sz w:val="24"/>
          <w:lang w:eastAsia="zh-CN"/>
        </w:rPr>
        <w:t>启动锅炉房</w:t>
      </w:r>
      <w:r>
        <w:rPr>
          <w:rFonts w:hint="eastAsia" w:ascii="宋体" w:hAnsi="宋体"/>
          <w:bCs/>
          <w:sz w:val="24"/>
          <w:lang w:val="en-US" w:eastAsia="zh-CN"/>
        </w:rPr>
        <w:t>钢结构工程施工招标。</w:t>
      </w:r>
      <w:r>
        <w:rPr>
          <w:rFonts w:hint="eastAsia" w:ascii="宋体" w:hAnsi="宋体"/>
          <w:bCs/>
          <w:sz w:val="24"/>
        </w:rPr>
        <w:t xml:space="preserve">                     </w:t>
      </w:r>
    </w:p>
    <w:p>
      <w:pPr>
        <w:numPr>
          <w:ilvl w:val="2"/>
          <w:numId w:val="1"/>
        </w:numPr>
        <w:tabs>
          <w:tab w:val="left" w:pos="1440"/>
        </w:tabs>
        <w:spacing w:line="360" w:lineRule="auto"/>
        <w:ind w:left="0" w:firstLine="480" w:firstLineChars="200"/>
        <w:rPr>
          <w:rFonts w:hint="default" w:ascii="宋体" w:hAnsi="宋体" w:eastAsia="宋体"/>
          <w:kern w:val="0"/>
          <w:sz w:val="24"/>
          <w:lang w:val="en-US" w:eastAsia="zh-CN"/>
        </w:rPr>
      </w:pPr>
      <w:r>
        <w:rPr>
          <w:rFonts w:hint="eastAsia" w:ascii="宋体" w:hAnsi="宋体"/>
          <w:bCs/>
          <w:sz w:val="24"/>
        </w:rPr>
        <w:t>招标方式：本工程采用邀请招标方式，按照“公开、公平、公正</w:t>
      </w:r>
      <w:r>
        <w:rPr>
          <w:rFonts w:ascii="宋体" w:hAnsi="宋体"/>
          <w:bCs/>
          <w:sz w:val="24"/>
        </w:rPr>
        <w:t>”</w:t>
      </w:r>
      <w:r>
        <w:rPr>
          <w:rFonts w:hint="eastAsia" w:ascii="宋体" w:hAnsi="宋体"/>
          <w:bCs/>
          <w:sz w:val="24"/>
        </w:rPr>
        <w:t>的原则，择优选定中标单位</w:t>
      </w:r>
      <w:r>
        <w:rPr>
          <w:rFonts w:hint="eastAsia" w:ascii="宋体" w:hAnsi="宋体"/>
          <w:kern w:val="0"/>
          <w:sz w:val="24"/>
        </w:rPr>
        <w:t xml:space="preserve"> </w:t>
      </w:r>
    </w:p>
    <w:p>
      <w:pPr>
        <w:numPr>
          <w:ilvl w:val="1"/>
          <w:numId w:val="1"/>
        </w:numPr>
        <w:tabs>
          <w:tab w:val="left" w:pos="1440"/>
        </w:tabs>
        <w:spacing w:line="360" w:lineRule="auto"/>
        <w:ind w:left="0" w:firstLine="480" w:firstLineChars="200"/>
        <w:rPr>
          <w:rFonts w:hint="eastAsia" w:ascii="宋体" w:hAnsi="宋体"/>
          <w:kern w:val="0"/>
          <w:sz w:val="24"/>
          <w:u w:val="single"/>
        </w:rPr>
      </w:pPr>
      <w:r>
        <w:rPr>
          <w:rFonts w:hint="eastAsia" w:ascii="宋体" w:hAnsi="宋体"/>
          <w:bCs/>
          <w:sz w:val="24"/>
        </w:rPr>
        <w:t>资金来源：企业自筹</w:t>
      </w:r>
    </w:p>
    <w:p>
      <w:pPr>
        <w:numPr>
          <w:ilvl w:val="1"/>
          <w:numId w:val="1"/>
        </w:numPr>
        <w:tabs>
          <w:tab w:val="left" w:pos="1440"/>
        </w:tabs>
        <w:spacing w:line="360" w:lineRule="auto"/>
        <w:ind w:left="0" w:firstLine="480" w:firstLineChars="200"/>
        <w:rPr>
          <w:rFonts w:hint="eastAsia" w:ascii="宋体" w:hAnsi="宋体"/>
          <w:kern w:val="0"/>
          <w:sz w:val="24"/>
        </w:rPr>
      </w:pPr>
      <w:r>
        <w:rPr>
          <w:rFonts w:hint="eastAsia" w:ascii="宋体" w:hAnsi="宋体"/>
          <w:bCs/>
          <w:sz w:val="24"/>
        </w:rPr>
        <w:t>资格要求与合格条件:</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为履行本施工合同，参加投标的施工企业（以下称“投标单位”）必须具有施工资质和相应的业绩。</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投标单位必须具有中华人民共和国独立法人资格。</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投标单位必须具备专业承包</w:t>
      </w:r>
      <w:r>
        <w:rPr>
          <w:rFonts w:hint="eastAsia" w:ascii="宋体" w:hAnsi="宋体"/>
          <w:bCs/>
          <w:sz w:val="24"/>
          <w:lang w:eastAsia="zh-CN"/>
        </w:rPr>
        <w:t>叁</w:t>
      </w:r>
      <w:r>
        <w:rPr>
          <w:rFonts w:hint="eastAsia" w:ascii="宋体" w:hAnsi="宋体"/>
          <w:bCs/>
          <w:sz w:val="24"/>
        </w:rPr>
        <w:t>级以上（含</w:t>
      </w:r>
      <w:r>
        <w:rPr>
          <w:rFonts w:hint="eastAsia" w:ascii="宋体" w:hAnsi="宋体"/>
          <w:bCs/>
          <w:sz w:val="24"/>
          <w:lang w:eastAsia="zh-CN"/>
        </w:rPr>
        <w:t>叁</w:t>
      </w:r>
      <w:r>
        <w:rPr>
          <w:rFonts w:hint="eastAsia" w:ascii="宋体" w:hAnsi="宋体"/>
          <w:bCs/>
          <w:sz w:val="24"/>
        </w:rPr>
        <w:t>级）资质</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投标单位必须有施工经验和业绩。</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投标单位在近5年内不曾在任何合同中违约被逐或因自身的原因而使任何合同被解除。</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具有被授予合同的资格，投标单位应提供令招标单位满意的资格文件，以证明其符合投标合格条件和具有履行合同的能力。为此，所提交的投标文件中应包括下列资料：</w:t>
      </w:r>
    </w:p>
    <w:p>
      <w:pPr>
        <w:spacing w:line="360" w:lineRule="auto"/>
        <w:ind w:firstLine="525"/>
        <w:rPr>
          <w:rFonts w:hint="eastAsia" w:ascii="宋体" w:hAnsi="宋体"/>
          <w:bCs/>
          <w:sz w:val="24"/>
        </w:rPr>
      </w:pPr>
      <w:r>
        <w:rPr>
          <w:rFonts w:hint="eastAsia" w:ascii="宋体" w:hAnsi="宋体"/>
          <w:bCs/>
          <w:sz w:val="24"/>
        </w:rPr>
        <w:t>(1)证明具备投标资格的有效的原始文件及复印件（包括营业执照、资质等级、劳动部门颁发的安全施工许可证，ISO9000认证证书）。</w:t>
      </w:r>
    </w:p>
    <w:p>
      <w:pPr>
        <w:spacing w:line="360" w:lineRule="auto"/>
        <w:ind w:firstLine="525"/>
        <w:rPr>
          <w:rFonts w:hint="eastAsia" w:ascii="宋体" w:hAnsi="宋体"/>
          <w:bCs/>
          <w:sz w:val="24"/>
        </w:rPr>
      </w:pPr>
      <w:r>
        <w:rPr>
          <w:rFonts w:hint="eastAsia" w:ascii="宋体" w:hAnsi="宋体"/>
          <w:bCs/>
          <w:sz w:val="24"/>
        </w:rPr>
        <w:t>(2)投标单位在近5年完成的与本合同工程相似及其履行情况和现在正在履行的合同情况，以及近三年质量回访记录。</w:t>
      </w:r>
    </w:p>
    <w:p>
      <w:pPr>
        <w:spacing w:line="360" w:lineRule="auto"/>
        <w:ind w:firstLine="525"/>
        <w:rPr>
          <w:rFonts w:hint="eastAsia" w:ascii="宋体" w:hAnsi="宋体"/>
          <w:bCs/>
          <w:sz w:val="24"/>
        </w:rPr>
      </w:pPr>
      <w:r>
        <w:rPr>
          <w:rFonts w:hint="eastAsia" w:ascii="宋体" w:hAnsi="宋体"/>
          <w:bCs/>
          <w:sz w:val="24"/>
        </w:rPr>
        <w:t>(3)提供项目经理、副经理、项目总工程师简历及拟在施工现场主要施工管理人员的情况。</w:t>
      </w:r>
    </w:p>
    <w:p>
      <w:pPr>
        <w:spacing w:line="360" w:lineRule="auto"/>
        <w:ind w:firstLine="525"/>
        <w:rPr>
          <w:rFonts w:hint="eastAsia" w:ascii="宋体" w:hAnsi="宋体"/>
          <w:bCs/>
          <w:sz w:val="24"/>
        </w:rPr>
      </w:pPr>
      <w:r>
        <w:rPr>
          <w:rFonts w:hint="eastAsia" w:ascii="宋体" w:hAnsi="宋体"/>
          <w:bCs/>
          <w:sz w:val="24"/>
        </w:rPr>
        <w:t>(4)提供完成合同拟采用的主要施工机械设备情况。</w:t>
      </w:r>
    </w:p>
    <w:p>
      <w:pPr>
        <w:spacing w:line="360" w:lineRule="auto"/>
        <w:ind w:firstLine="525"/>
        <w:rPr>
          <w:rFonts w:hint="eastAsia" w:ascii="宋体" w:hAnsi="宋体"/>
          <w:bCs/>
          <w:sz w:val="24"/>
        </w:rPr>
      </w:pPr>
      <w:r>
        <w:rPr>
          <w:rFonts w:hint="eastAsia" w:ascii="宋体" w:hAnsi="宋体"/>
          <w:bCs/>
          <w:sz w:val="24"/>
        </w:rPr>
        <w:t>(5)投标单位提供财务状况，包括近3年经过审计的主要财务报表，今后2年的财务计划和本年度及下年度合同项目及施工产值；并要求投标单位货币资金与存货之和（不含在建工程）大于目前已承担工程的剩余部分与本工程准备投标部分之和的10%。</w:t>
      </w:r>
    </w:p>
    <w:p>
      <w:pPr>
        <w:spacing w:line="360" w:lineRule="auto"/>
        <w:ind w:firstLine="525"/>
        <w:rPr>
          <w:rFonts w:hint="eastAsia" w:ascii="宋体" w:hAnsi="宋体"/>
          <w:bCs/>
          <w:sz w:val="24"/>
        </w:rPr>
      </w:pPr>
      <w:r>
        <w:rPr>
          <w:rFonts w:hint="eastAsia" w:ascii="宋体" w:hAnsi="宋体"/>
          <w:bCs/>
          <w:sz w:val="24"/>
        </w:rPr>
        <w:t>(6)投标单位目前和近2年涉及诉讼的资料。</w:t>
      </w:r>
    </w:p>
    <w:p>
      <w:pPr>
        <w:spacing w:line="360" w:lineRule="auto"/>
        <w:ind w:firstLine="525"/>
        <w:rPr>
          <w:rFonts w:hint="eastAsia" w:ascii="宋体" w:hAnsi="宋体"/>
          <w:bCs/>
          <w:sz w:val="24"/>
        </w:rPr>
      </w:pPr>
      <w:r>
        <w:rPr>
          <w:rFonts w:hint="eastAsia" w:ascii="宋体" w:hAnsi="宋体"/>
          <w:bCs/>
          <w:sz w:val="24"/>
        </w:rPr>
        <w:t>(7)具有独立处理同类工程地方事宜的能力情况。</w:t>
      </w:r>
    </w:p>
    <w:p>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投标费用</w:t>
      </w:r>
    </w:p>
    <w:p>
      <w:pPr>
        <w:pStyle w:val="6"/>
        <w:tabs>
          <w:tab w:val="clear" w:pos="482"/>
        </w:tabs>
        <w:spacing w:line="360" w:lineRule="auto"/>
        <w:ind w:firstLine="480" w:firstLineChars="200"/>
        <w:jc w:val="both"/>
        <w:rPr>
          <w:rFonts w:hint="eastAsia" w:hAnsi="宋体"/>
          <w:bCs/>
          <w:sz w:val="24"/>
          <w:szCs w:val="24"/>
        </w:rPr>
      </w:pPr>
      <w:r>
        <w:rPr>
          <w:rFonts w:hint="eastAsia" w:hAnsi="宋体"/>
          <w:bCs/>
          <w:sz w:val="24"/>
          <w:szCs w:val="24"/>
        </w:rPr>
        <w:t>投标单位应承担编制投标文件与递交投标文件所涉及的一切费用。不管投标结果如何，招标单位对上述费用不负任何责任。</w:t>
      </w:r>
    </w:p>
    <w:p>
      <w:pPr>
        <w:pStyle w:val="6"/>
        <w:numPr>
          <w:ilvl w:val="1"/>
          <w:numId w:val="1"/>
        </w:numPr>
        <w:tabs>
          <w:tab w:val="clear" w:pos="1107"/>
          <w:tab w:val="clear" w:pos="482"/>
        </w:tabs>
        <w:spacing w:line="360" w:lineRule="auto"/>
        <w:ind w:left="0" w:leftChars="0" w:firstLine="480" w:firstLineChars="200"/>
        <w:jc w:val="both"/>
        <w:rPr>
          <w:rFonts w:hint="eastAsia" w:hAnsi="宋体"/>
          <w:bCs/>
          <w:sz w:val="24"/>
          <w:szCs w:val="24"/>
          <w:lang w:val="en-US" w:eastAsia="zh-CN"/>
        </w:rPr>
      </w:pPr>
      <w:r>
        <w:rPr>
          <w:rFonts w:hint="eastAsia" w:hAnsi="宋体"/>
          <w:bCs/>
          <w:sz w:val="24"/>
          <w:szCs w:val="24"/>
          <w:lang w:val="en-US" w:eastAsia="zh-CN"/>
        </w:rPr>
        <w:t>技术要求</w:t>
      </w:r>
    </w:p>
    <w:p>
      <w:pPr>
        <w:pStyle w:val="6"/>
        <w:numPr>
          <w:ilvl w:val="0"/>
          <w:numId w:val="0"/>
        </w:numPr>
        <w:tabs>
          <w:tab w:val="clear" w:pos="482"/>
        </w:tabs>
        <w:spacing w:line="360" w:lineRule="auto"/>
        <w:ind w:leftChars="200"/>
        <w:jc w:val="both"/>
        <w:rPr>
          <w:rFonts w:hint="default" w:hAnsi="宋体"/>
          <w:bCs/>
          <w:sz w:val="24"/>
          <w:szCs w:val="24"/>
          <w:lang w:val="en-US" w:eastAsia="zh-CN"/>
        </w:rPr>
      </w:pPr>
      <w:r>
        <w:rPr>
          <w:rFonts w:hint="eastAsia" w:hAnsi="宋体"/>
          <w:bCs/>
          <w:sz w:val="24"/>
          <w:szCs w:val="24"/>
          <w:lang w:val="en-US" w:eastAsia="zh-CN"/>
        </w:rPr>
        <w:t>板材采用普通复合岩棉保温压型钢板（外板0.6mm，内板0.5mm），颜色为灰色，厚度见图纸要求。塑钢窗采用推拉窗，中财70型材（外灰内白），春光五金件，</w:t>
      </w:r>
      <w:r>
        <w:rPr>
          <w:rStyle w:val="11"/>
          <w:kern w:val="0"/>
          <w:sz w:val="24"/>
          <w:szCs w:val="24"/>
          <w:lang w:val="en-US" w:eastAsia="zh-CN" w:bidi="ar-SA"/>
        </w:rPr>
        <w:t>钢化玻璃（5+8A+5+8A+5）</w:t>
      </w:r>
      <w:r>
        <w:rPr>
          <w:rStyle w:val="11"/>
          <w:rFonts w:hint="eastAsia"/>
          <w:kern w:val="0"/>
          <w:sz w:val="24"/>
          <w:szCs w:val="24"/>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4"/>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969"/>
        </w:tabs>
        <w:ind w:left="1969" w:hanging="709"/>
      </w:pPr>
      <w:rPr>
        <w:rFonts w:hint="eastAsia"/>
      </w:rPr>
    </w:lvl>
    <w:lvl w:ilvl="3" w:tentative="0">
      <w:start w:val="1"/>
      <w:numFmt w:val="decimal"/>
      <w:lvlText w:val="%1.%2.%3.%4."/>
      <w:lvlJc w:val="left"/>
      <w:pPr>
        <w:tabs>
          <w:tab w:val="left" w:pos="851"/>
        </w:tabs>
        <w:ind w:left="851" w:hanging="851"/>
      </w:pPr>
      <w:rPr>
        <w:rFonts w:hint="eastAsia"/>
        <w:color w:val="auto"/>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67D37"/>
    <w:rsid w:val="30E6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5"/>
    <w:qFormat/>
    <w:uiPriority w:val="0"/>
    <w:pPr>
      <w:keepNext/>
      <w:numPr>
        <w:ilvl w:val="0"/>
        <w:numId w:val="1"/>
      </w:numPr>
      <w:outlineLvl w:val="1"/>
    </w:pPr>
    <w:rPr>
      <w:rFonts w:ascii="宋体" w:hAnsi="宋体"/>
      <w:b/>
      <w:sz w:val="24"/>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tabs>
        <w:tab w:val="left" w:pos="482"/>
      </w:tabs>
      <w:adjustRightInd w:val="0"/>
      <w:spacing w:line="396" w:lineRule="atLeast"/>
      <w:jc w:val="left"/>
      <w:textAlignment w:val="baseline"/>
    </w:pPr>
    <w:rPr>
      <w:rFonts w:ascii="宋体"/>
      <w:kern w:val="0"/>
      <w:sz w:val="28"/>
      <w:szCs w:val="20"/>
    </w:rPr>
  </w:style>
  <w:style w:type="paragraph" w:styleId="5">
    <w:name w:val="Normal Indent"/>
    <w:basedOn w:val="1"/>
    <w:qFormat/>
    <w:uiPriority w:val="0"/>
    <w:pPr>
      <w:adjustRightInd w:val="0"/>
      <w:spacing w:line="410" w:lineRule="atLeast"/>
      <w:ind w:firstLine="420"/>
      <w:jc w:val="left"/>
      <w:textAlignment w:val="baseline"/>
    </w:pPr>
    <w:rPr>
      <w:rFonts w:ascii="宋体"/>
      <w:kern w:val="0"/>
      <w:sz w:val="24"/>
      <w:szCs w:val="20"/>
    </w:rPr>
  </w:style>
  <w:style w:type="paragraph" w:styleId="6">
    <w:name w:val="Body Text Indent 3"/>
    <w:basedOn w:val="1"/>
    <w:qFormat/>
    <w:uiPriority w:val="0"/>
    <w:pPr>
      <w:tabs>
        <w:tab w:val="left" w:pos="482"/>
      </w:tabs>
      <w:adjustRightInd w:val="0"/>
      <w:spacing w:line="396" w:lineRule="atLeast"/>
      <w:ind w:firstLine="600"/>
      <w:jc w:val="left"/>
      <w:textAlignment w:val="baseline"/>
    </w:pPr>
    <w:rPr>
      <w:rFonts w:ascii="宋体"/>
      <w:kern w:val="0"/>
      <w:sz w:val="28"/>
      <w:szCs w:val="20"/>
    </w:rPr>
  </w:style>
  <w:style w:type="character" w:styleId="9">
    <w:name w:val="Hyperlink"/>
    <w:uiPriority w:val="0"/>
    <w:rPr>
      <w:color w:val="0000FF"/>
      <w:u w:val="single"/>
    </w:rPr>
  </w:style>
  <w:style w:type="paragraph" w:customStyle="1" w:styleId="10">
    <w:name w:val="样式1"/>
    <w:basedOn w:val="1"/>
    <w:uiPriority w:val="0"/>
    <w:pPr>
      <w:adjustRightInd w:val="0"/>
      <w:spacing w:line="420" w:lineRule="auto"/>
      <w:jc w:val="center"/>
      <w:textAlignment w:val="baseline"/>
    </w:pPr>
    <w:rPr>
      <w:rFonts w:ascii="宋体"/>
      <w:kern w:val="0"/>
      <w:sz w:val="24"/>
      <w:szCs w:val="20"/>
    </w:rPr>
  </w:style>
  <w:style w:type="character" w:customStyle="1" w:styleId="11">
    <w:name w:val="NormalCharacter"/>
    <w:semiHidden/>
    <w:qFormat/>
    <w:uiPriority w:val="0"/>
    <w:rPr>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2022-04-21T05:50:00Z</dcterms:created>
  <dc:creator>采购</dc:creator>
  <cp:lastModifiedBy>采购</cp:lastModifiedBy>
  <dcterms:modified xsi:type="dcterms:W3CDTF">2022-04-21T06:07:08Z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761CF458FD76422297D8AC1DC8B145E2</vt:lpwstr>
  </property>
</Properties>
</file>